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1" w:leftChars="-67" w:hanging="140" w:hangingChars="50"/>
        <w:jc w:val="both"/>
        <w:rPr>
          <w:rFonts w:hint="eastAsia" w:ascii="微软雅黑" w:hAnsi="微软雅黑" w:eastAsia="微软雅黑"/>
          <w:b/>
          <w:sz w:val="28"/>
          <w:szCs w:val="28"/>
        </w:rPr>
      </w:pPr>
      <w:r>
        <w:rPr>
          <w:rFonts w:hint="eastAsia" w:ascii="微软雅黑" w:hAnsi="微软雅黑" w:eastAsia="微软雅黑"/>
          <w:b/>
          <w:sz w:val="28"/>
          <w:szCs w:val="28"/>
          <w:lang w:val="en-US" w:eastAsia="zh-CN"/>
        </w:rPr>
        <w:t>附件</w:t>
      </w:r>
      <w:r>
        <w:rPr>
          <w:rFonts w:hint="eastAsia" w:ascii="微软雅黑" w:hAnsi="微软雅黑" w:eastAsia="微软雅黑"/>
          <w:b/>
          <w:sz w:val="28"/>
          <w:szCs w:val="28"/>
        </w:rPr>
        <w:t>1：广东省人民医院数据湖系统（I期）项目需求</w:t>
      </w:r>
    </w:p>
    <w:p>
      <w:pPr>
        <w:spacing w:before="624" w:beforeLines="200" w:after="312" w:afterLines="100" w:line="360" w:lineRule="auto"/>
        <w:jc w:val="center"/>
        <w:rPr>
          <w:rFonts w:asciiTheme="minorEastAsia" w:hAnsiTheme="minorEastAsia" w:eastAsiaTheme="minorEastAsia"/>
          <w:b/>
          <w:sz w:val="44"/>
          <w:szCs w:val="30"/>
        </w:rPr>
      </w:pPr>
      <w:r>
        <w:rPr>
          <w:rFonts w:hint="eastAsia" w:asciiTheme="minorEastAsia" w:hAnsiTheme="minorEastAsia" w:eastAsiaTheme="minorEastAsia"/>
          <w:b/>
          <w:sz w:val="44"/>
          <w:szCs w:val="30"/>
        </w:rPr>
        <w:t>广东省人民医院数据湖系统（I期）项目需求</w:t>
      </w:r>
    </w:p>
    <w:p>
      <w:pPr>
        <w:pStyle w:val="3"/>
        <w:numPr>
          <w:ilvl w:val="0"/>
          <w:numId w:val="2"/>
        </w:numPr>
        <w:spacing w:before="0" w:after="0" w:line="360" w:lineRule="auto"/>
        <w:rPr>
          <w:rFonts w:asciiTheme="minorEastAsia" w:hAnsiTheme="minorEastAsia" w:eastAsiaTheme="minorEastAsia"/>
          <w:sz w:val="32"/>
          <w:szCs w:val="32"/>
        </w:rPr>
      </w:pPr>
      <w:r>
        <w:rPr>
          <w:rFonts w:hint="eastAsia" w:asciiTheme="minorEastAsia" w:hAnsiTheme="minorEastAsia" w:eastAsiaTheme="minorEastAsia"/>
          <w:sz w:val="32"/>
          <w:szCs w:val="32"/>
        </w:rPr>
        <w:t>项目名称</w:t>
      </w:r>
    </w:p>
    <w:p>
      <w:pPr>
        <w:spacing w:line="360" w:lineRule="auto"/>
        <w:ind w:left="432"/>
        <w:rPr>
          <w:rFonts w:asciiTheme="minorEastAsia" w:hAnsiTheme="minorEastAsia" w:eastAsiaTheme="minorEastAsia"/>
          <w:sz w:val="22"/>
        </w:rPr>
      </w:pPr>
      <w:r>
        <w:rPr>
          <w:rFonts w:hint="eastAsia" w:asciiTheme="minorEastAsia" w:hAnsiTheme="minorEastAsia" w:eastAsiaTheme="minorEastAsia"/>
        </w:rPr>
        <w:t>项目名称：广东省人民医院数据湖系统（I期）项目</w:t>
      </w:r>
    </w:p>
    <w:p>
      <w:pPr>
        <w:pStyle w:val="3"/>
        <w:numPr>
          <w:ilvl w:val="0"/>
          <w:numId w:val="2"/>
        </w:numPr>
        <w:spacing w:before="0" w:after="0" w:line="360" w:lineRule="auto"/>
        <w:rPr>
          <w:rFonts w:asciiTheme="minorEastAsia" w:hAnsiTheme="minorEastAsia" w:eastAsiaTheme="minorEastAsia"/>
        </w:rPr>
      </w:pPr>
      <w:r>
        <w:rPr>
          <w:rFonts w:hint="eastAsia" w:asciiTheme="minorEastAsia" w:hAnsiTheme="minorEastAsia" w:eastAsiaTheme="minorEastAsia"/>
          <w:sz w:val="32"/>
          <w:szCs w:val="32"/>
          <w:lang w:val="en-US" w:eastAsia="zh-CN"/>
        </w:rPr>
        <w:t>采购清单</w:t>
      </w:r>
    </w:p>
    <w:p>
      <w:pPr>
        <w:spacing w:line="360" w:lineRule="auto"/>
        <w:rPr>
          <w:rFonts w:asciiTheme="minorEastAsia" w:hAnsiTheme="minorEastAsia" w:eastAsiaTheme="minorEastAsia"/>
        </w:rPr>
      </w:pPr>
      <w:r>
        <w:rPr>
          <w:rFonts w:hint="eastAsia" w:asciiTheme="minorEastAsia" w:hAnsiTheme="minorEastAsia" w:eastAsiaTheme="minorEastAsia"/>
        </w:rPr>
        <w:t>系统各子模块及功能如下：</w:t>
      </w:r>
      <w:r>
        <w:rPr>
          <w:rFonts w:asciiTheme="minorEastAsia" w:hAnsiTheme="minorEastAsia" w:eastAsiaTheme="minorEastAsia"/>
        </w:rPr>
        <w:tab/>
      </w:r>
      <w:r>
        <w:rPr>
          <w:rFonts w:asciiTheme="minorEastAsia" w:hAnsiTheme="minorEastAsia" w:eastAsiaTheme="minorEastAsia"/>
        </w:rPr>
        <w:tab/>
      </w:r>
    </w:p>
    <w:tbl>
      <w:tblPr>
        <w:tblStyle w:val="14"/>
        <w:tblW w:w="4998" w:type="pct"/>
        <w:jc w:val="center"/>
        <w:tblLayout w:type="autofit"/>
        <w:tblCellMar>
          <w:top w:w="0" w:type="dxa"/>
          <w:left w:w="108" w:type="dxa"/>
          <w:bottom w:w="0" w:type="dxa"/>
          <w:right w:w="108" w:type="dxa"/>
        </w:tblCellMar>
      </w:tblPr>
      <w:tblGrid>
        <w:gridCol w:w="1096"/>
        <w:gridCol w:w="2196"/>
        <w:gridCol w:w="3076"/>
        <w:gridCol w:w="2914"/>
      </w:tblGrid>
      <w:tr>
        <w:tblPrEx>
          <w:tblCellMar>
            <w:top w:w="0" w:type="dxa"/>
            <w:left w:w="108" w:type="dxa"/>
            <w:bottom w:w="0" w:type="dxa"/>
            <w:right w:w="108" w:type="dxa"/>
          </w:tblCellMar>
        </w:tblPrEx>
        <w:trPr>
          <w:trHeight w:val="280" w:hRule="atLeast"/>
          <w:tblHeader/>
          <w:jc w:val="center"/>
        </w:trPr>
        <w:tc>
          <w:tcPr>
            <w:tcW w:w="485" w:type="pct"/>
            <w:tcBorders>
              <w:top w:val="single" w:color="auto" w:sz="4" w:space="0"/>
              <w:left w:val="single" w:color="auto" w:sz="4" w:space="0"/>
              <w:bottom w:val="single" w:color="auto" w:sz="4" w:space="0"/>
              <w:right w:val="single" w:color="auto" w:sz="4" w:space="0"/>
            </w:tcBorders>
            <w:shd w:val="clear" w:color="000000" w:fill="B4C6E7"/>
            <w:noWrap/>
            <w:vAlign w:val="center"/>
          </w:tcPr>
          <w:p>
            <w:pPr>
              <w:snapToGrid w:val="0"/>
              <w:jc w:val="center"/>
              <w:textAlignment w:val="baseline"/>
              <w:rPr>
                <w:rFonts w:asciiTheme="minorEastAsia" w:hAnsiTheme="minorEastAsia" w:eastAsiaTheme="minorEastAsia"/>
                <w:sz w:val="20"/>
              </w:rPr>
            </w:pPr>
            <w:r>
              <w:rPr>
                <w:rFonts w:hint="eastAsia" w:asciiTheme="minorEastAsia" w:hAnsiTheme="minorEastAsia" w:eastAsiaTheme="minorEastAsia"/>
                <w:sz w:val="22"/>
              </w:rPr>
              <w:t>模块</w:t>
            </w:r>
          </w:p>
        </w:tc>
        <w:tc>
          <w:tcPr>
            <w:tcW w:w="979" w:type="pct"/>
            <w:tcBorders>
              <w:top w:val="single" w:color="auto" w:sz="4" w:space="0"/>
              <w:left w:val="nil"/>
              <w:bottom w:val="single" w:color="auto" w:sz="4" w:space="0"/>
              <w:right w:val="single" w:color="auto" w:sz="4" w:space="0"/>
            </w:tcBorders>
            <w:shd w:val="clear" w:color="000000" w:fill="B4C6E7"/>
            <w:noWrap/>
            <w:vAlign w:val="center"/>
          </w:tcPr>
          <w:p>
            <w:pPr>
              <w:snapToGrid w:val="0"/>
              <w:jc w:val="center"/>
              <w:textAlignment w:val="baseline"/>
              <w:rPr>
                <w:rFonts w:asciiTheme="minorEastAsia" w:hAnsiTheme="minorEastAsia" w:eastAsiaTheme="minorEastAsia"/>
                <w:sz w:val="20"/>
              </w:rPr>
            </w:pPr>
            <w:r>
              <w:rPr>
                <w:rFonts w:hint="eastAsia" w:asciiTheme="minorEastAsia" w:hAnsiTheme="minorEastAsia" w:eastAsiaTheme="minorEastAsia"/>
                <w:sz w:val="22"/>
              </w:rPr>
              <w:t>子模块</w:t>
            </w:r>
          </w:p>
        </w:tc>
        <w:tc>
          <w:tcPr>
            <w:tcW w:w="1767" w:type="pct"/>
            <w:tcBorders>
              <w:top w:val="single" w:color="auto" w:sz="4" w:space="0"/>
              <w:left w:val="nil"/>
              <w:bottom w:val="single" w:color="auto" w:sz="4" w:space="0"/>
              <w:right w:val="single" w:color="auto" w:sz="4" w:space="0"/>
            </w:tcBorders>
            <w:shd w:val="clear" w:color="000000" w:fill="B4C6E7"/>
            <w:noWrap/>
            <w:vAlign w:val="center"/>
          </w:tcPr>
          <w:p>
            <w:pPr>
              <w:snapToGrid w:val="0"/>
              <w:jc w:val="center"/>
              <w:textAlignment w:val="baseline"/>
              <w:rPr>
                <w:rFonts w:asciiTheme="minorEastAsia" w:hAnsiTheme="minorEastAsia" w:eastAsiaTheme="minorEastAsia"/>
                <w:sz w:val="20"/>
              </w:rPr>
            </w:pPr>
            <w:r>
              <w:rPr>
                <w:rFonts w:hint="eastAsia" w:asciiTheme="minorEastAsia" w:hAnsiTheme="minorEastAsia" w:eastAsiaTheme="minorEastAsia"/>
                <w:sz w:val="22"/>
              </w:rPr>
              <w:t>功能项</w:t>
            </w:r>
          </w:p>
        </w:tc>
        <w:tc>
          <w:tcPr>
            <w:tcW w:w="1767" w:type="pct"/>
            <w:tcBorders>
              <w:top w:val="single" w:color="auto" w:sz="4" w:space="0"/>
              <w:left w:val="nil"/>
              <w:bottom w:val="single" w:color="auto" w:sz="4" w:space="0"/>
              <w:right w:val="single" w:color="auto" w:sz="4" w:space="0"/>
            </w:tcBorders>
            <w:shd w:val="clear" w:color="000000" w:fill="B4C6E7"/>
            <w:noWrap/>
            <w:vAlign w:val="center"/>
          </w:tcPr>
          <w:p>
            <w:pPr>
              <w:snapToGrid w:val="0"/>
              <w:jc w:val="center"/>
              <w:textAlignment w:val="baseline"/>
              <w:rPr>
                <w:rFonts w:hint="eastAsia" w:asciiTheme="minorEastAsia" w:hAnsiTheme="minorEastAsia" w:eastAsiaTheme="minorEastAsia"/>
                <w:sz w:val="22"/>
                <w:lang w:val="en-US" w:eastAsia="zh-CN"/>
              </w:rPr>
            </w:pPr>
            <w:r>
              <w:rPr>
                <w:rFonts w:hint="eastAsia" w:asciiTheme="minorEastAsia" w:hAnsiTheme="minorEastAsia" w:eastAsiaTheme="minorEastAsia"/>
                <w:sz w:val="22"/>
                <w:lang w:val="en-US" w:eastAsia="zh-CN"/>
              </w:rPr>
              <w:t>备注</w:t>
            </w:r>
          </w:p>
        </w:tc>
      </w:tr>
      <w:tr>
        <w:tblPrEx>
          <w:tblCellMar>
            <w:top w:w="0" w:type="dxa"/>
            <w:left w:w="108" w:type="dxa"/>
            <w:bottom w:w="0" w:type="dxa"/>
            <w:right w:w="108" w:type="dxa"/>
          </w:tblCellMar>
        </w:tblPrEx>
        <w:trPr>
          <w:trHeight w:val="280" w:hRule="atLeast"/>
          <w:jc w:val="center"/>
        </w:trPr>
        <w:tc>
          <w:tcPr>
            <w:tcW w:w="485" w:type="pct"/>
            <w:vMerge w:val="restart"/>
            <w:tcBorders>
              <w:top w:val="nil"/>
              <w:left w:val="single" w:color="auto" w:sz="4" w:space="0"/>
              <w:right w:val="single" w:color="auto" w:sz="4" w:space="0"/>
            </w:tcBorders>
            <w:shd w:val="clear" w:color="auto" w:fill="auto"/>
            <w:noWrap/>
            <w:vAlign w:val="center"/>
          </w:tcPr>
          <w:p>
            <w:pPr>
              <w:snapToGrid w:val="0"/>
              <w:jc w:val="center"/>
              <w:textAlignment w:val="baseline"/>
              <w:rPr>
                <w:rFonts w:asciiTheme="minorEastAsia" w:hAnsiTheme="minorEastAsia" w:eastAsiaTheme="minorEastAsia"/>
                <w:sz w:val="20"/>
              </w:rPr>
            </w:pPr>
            <w:r>
              <w:rPr>
                <w:rFonts w:hint="eastAsia" w:asciiTheme="minorEastAsia" w:hAnsiTheme="minorEastAsia" w:eastAsiaTheme="minorEastAsia"/>
                <w:sz w:val="22"/>
              </w:rPr>
              <w:t>数据湖</w:t>
            </w:r>
          </w:p>
        </w:tc>
        <w:tc>
          <w:tcPr>
            <w:tcW w:w="979" w:type="pct"/>
            <w:vMerge w:val="restart"/>
            <w:tcBorders>
              <w:top w:val="nil"/>
              <w:left w:val="single" w:color="auto" w:sz="4" w:space="0"/>
              <w:bottom w:val="single" w:color="000000" w:sz="4" w:space="0"/>
              <w:right w:val="single" w:color="auto" w:sz="4" w:space="0"/>
            </w:tcBorders>
            <w:shd w:val="clear" w:color="auto" w:fill="auto"/>
            <w:noWrap/>
            <w:vAlign w:val="center"/>
          </w:tcPr>
          <w:p>
            <w:pPr>
              <w:snapToGrid w:val="0"/>
              <w:jc w:val="center"/>
              <w:textAlignment w:val="baseline"/>
              <w:rPr>
                <w:rFonts w:asciiTheme="minorEastAsia" w:hAnsiTheme="minorEastAsia" w:eastAsiaTheme="minorEastAsia"/>
                <w:sz w:val="20"/>
              </w:rPr>
            </w:pPr>
            <w:r>
              <w:rPr>
                <w:rFonts w:hint="eastAsia" w:asciiTheme="minorEastAsia" w:hAnsiTheme="minorEastAsia" w:eastAsiaTheme="minorEastAsia"/>
                <w:sz w:val="22"/>
              </w:rPr>
              <w:t>数据湖基础平台</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全景式采集</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default" w:asciiTheme="minorEastAsia" w:hAnsiTheme="minorEastAsia" w:eastAsiaTheme="minorEastAsia"/>
                <w:sz w:val="22"/>
                <w:lang w:val="en-US" w:eastAsia="zh-CN"/>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数据虚拟化</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流批一体架构</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湖仓一体架构</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国产化开源化</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restart"/>
            <w:tcBorders>
              <w:top w:val="nil"/>
              <w:left w:val="single" w:color="auto" w:sz="4" w:space="0"/>
              <w:bottom w:val="single" w:color="000000" w:sz="4" w:space="0"/>
              <w:right w:val="single" w:color="auto" w:sz="4" w:space="0"/>
            </w:tcBorders>
            <w:shd w:val="clear" w:color="auto" w:fill="auto"/>
            <w:noWrap/>
            <w:vAlign w:val="center"/>
          </w:tcPr>
          <w:p>
            <w:pPr>
              <w:snapToGrid w:val="0"/>
              <w:jc w:val="center"/>
              <w:textAlignment w:val="baseline"/>
              <w:rPr>
                <w:rFonts w:asciiTheme="minorEastAsia" w:hAnsiTheme="minorEastAsia" w:eastAsiaTheme="minorEastAsia"/>
                <w:sz w:val="20"/>
              </w:rPr>
            </w:pPr>
            <w:r>
              <w:rPr>
                <w:rFonts w:hint="eastAsia" w:asciiTheme="minorEastAsia" w:hAnsiTheme="minorEastAsia" w:eastAsiaTheme="minorEastAsia"/>
                <w:sz w:val="22"/>
              </w:rPr>
              <w:t>数据湖治理平台</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数据转模</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数据清洗</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数据标准</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数据结构化</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数据时序化</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restart"/>
            <w:tcBorders>
              <w:top w:val="nil"/>
              <w:left w:val="single" w:color="auto" w:sz="4" w:space="0"/>
              <w:bottom w:val="single" w:color="000000" w:sz="4" w:space="0"/>
              <w:right w:val="single" w:color="auto" w:sz="4" w:space="0"/>
            </w:tcBorders>
            <w:shd w:val="clear" w:color="auto" w:fill="auto"/>
            <w:noWrap/>
            <w:vAlign w:val="center"/>
          </w:tcPr>
          <w:p>
            <w:pPr>
              <w:snapToGrid w:val="0"/>
              <w:jc w:val="center"/>
              <w:textAlignment w:val="baseline"/>
              <w:rPr>
                <w:rFonts w:asciiTheme="minorEastAsia" w:hAnsiTheme="minorEastAsia" w:eastAsiaTheme="minorEastAsia"/>
                <w:sz w:val="20"/>
              </w:rPr>
            </w:pPr>
            <w:r>
              <w:rPr>
                <w:rFonts w:hint="eastAsia" w:asciiTheme="minorEastAsia" w:hAnsiTheme="minorEastAsia" w:eastAsiaTheme="minorEastAsia"/>
                <w:sz w:val="22"/>
              </w:rPr>
              <w:t>数据湖资产平台</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数据资产编目</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数据资产使用</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数据资产共享</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restart"/>
            <w:tcBorders>
              <w:top w:val="nil"/>
              <w:left w:val="single" w:color="auto" w:sz="4" w:space="0"/>
              <w:bottom w:val="single" w:color="000000" w:sz="4" w:space="0"/>
              <w:right w:val="single" w:color="auto" w:sz="4" w:space="0"/>
            </w:tcBorders>
            <w:shd w:val="clear" w:color="auto" w:fill="auto"/>
            <w:noWrap/>
            <w:vAlign w:val="center"/>
          </w:tcPr>
          <w:p>
            <w:pPr>
              <w:snapToGrid w:val="0"/>
              <w:jc w:val="center"/>
              <w:textAlignment w:val="baseline"/>
              <w:rPr>
                <w:rFonts w:asciiTheme="minorEastAsia" w:hAnsiTheme="minorEastAsia" w:eastAsiaTheme="minorEastAsia"/>
                <w:sz w:val="20"/>
              </w:rPr>
            </w:pPr>
            <w:r>
              <w:rPr>
                <w:rFonts w:hint="eastAsia" w:asciiTheme="minorEastAsia" w:hAnsiTheme="minorEastAsia" w:eastAsiaTheme="minorEastAsia"/>
                <w:sz w:val="22"/>
              </w:rPr>
              <w:t>数据湖基础安全平台</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数据隔离</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数据脱敏</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权限控制</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输出控制模块</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Theme="minorEastAsia" w:hAnsiTheme="minorEastAsia" w:eastAsiaTheme="minorEastAsia"/>
                <w:sz w:val="20"/>
              </w:rPr>
            </w:pPr>
            <w:r>
              <w:rPr>
                <w:rFonts w:hint="eastAsia" w:asciiTheme="minorEastAsia" w:hAnsiTheme="minorEastAsia" w:eastAsiaTheme="minorEastAsia"/>
                <w:sz w:val="22"/>
              </w:rPr>
              <w:t>数据湖增强安全平台</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数据加密模块</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隐私计算模块</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left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数据权属认证模块</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restart"/>
            <w:tcBorders>
              <w:top w:val="nil"/>
              <w:left w:val="single" w:color="auto" w:sz="4" w:space="0"/>
              <w:bottom w:val="single" w:color="000000" w:sz="4" w:space="0"/>
              <w:right w:val="single" w:color="auto" w:sz="4" w:space="0"/>
            </w:tcBorders>
            <w:shd w:val="clear" w:color="auto" w:fill="auto"/>
            <w:noWrap/>
            <w:vAlign w:val="center"/>
          </w:tcPr>
          <w:p>
            <w:pPr>
              <w:snapToGrid w:val="0"/>
              <w:jc w:val="center"/>
              <w:textAlignment w:val="baseline"/>
              <w:rPr>
                <w:rFonts w:asciiTheme="minorEastAsia" w:hAnsiTheme="minorEastAsia" w:eastAsiaTheme="minorEastAsia"/>
                <w:sz w:val="20"/>
              </w:rPr>
            </w:pPr>
            <w:r>
              <w:rPr>
                <w:rFonts w:hint="eastAsia" w:asciiTheme="minorEastAsia" w:hAnsiTheme="minorEastAsia" w:eastAsiaTheme="minorEastAsia"/>
                <w:sz w:val="22"/>
              </w:rPr>
              <w:t>数据应用</w:t>
            </w:r>
          </w:p>
        </w:tc>
        <w:tc>
          <w:tcPr>
            <w:tcW w:w="97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textAlignment w:val="baseline"/>
              <w:rPr>
                <w:rFonts w:asciiTheme="minorEastAsia" w:hAnsiTheme="minorEastAsia" w:eastAsiaTheme="minorEastAsia"/>
                <w:sz w:val="20"/>
              </w:rPr>
            </w:pPr>
            <w:r>
              <w:rPr>
                <w:rFonts w:hint="eastAsia" w:asciiTheme="minorEastAsia" w:hAnsiTheme="minorEastAsia" w:eastAsiaTheme="minorEastAsia"/>
                <w:sz w:val="22"/>
              </w:rPr>
              <w:t>科研智能搜索平台</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传统高级搜索</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智能科研检索</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napToGrid w:val="0"/>
              <w:jc w:val="center"/>
              <w:textAlignment w:val="baseline"/>
              <w:rPr>
                <w:rFonts w:asciiTheme="minorEastAsia" w:hAnsiTheme="minorEastAsia" w:eastAsiaTheme="minorEastAsia"/>
                <w:sz w:val="20"/>
              </w:rPr>
            </w:pPr>
            <w:r>
              <w:rPr>
                <w:rFonts w:hint="eastAsia" w:asciiTheme="minorEastAsia" w:hAnsiTheme="minorEastAsia" w:eastAsiaTheme="minorEastAsia"/>
                <w:sz w:val="22"/>
              </w:rPr>
              <w:t>科研学术服务平台</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统一文献服务</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科研辅助服务</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restart"/>
            <w:tcBorders>
              <w:top w:val="nil"/>
              <w:left w:val="single" w:color="auto" w:sz="4" w:space="0"/>
              <w:bottom w:val="single" w:color="000000" w:sz="4" w:space="0"/>
              <w:right w:val="single" w:color="auto" w:sz="4" w:space="0"/>
            </w:tcBorders>
            <w:shd w:val="clear" w:color="auto" w:fill="auto"/>
            <w:noWrap/>
            <w:vAlign w:val="center"/>
          </w:tcPr>
          <w:p>
            <w:pPr>
              <w:snapToGrid w:val="0"/>
              <w:jc w:val="center"/>
              <w:textAlignment w:val="baseline"/>
              <w:rPr>
                <w:rFonts w:asciiTheme="minorEastAsia" w:hAnsiTheme="minorEastAsia" w:eastAsiaTheme="minorEastAsia"/>
                <w:sz w:val="20"/>
              </w:rPr>
            </w:pPr>
            <w:r>
              <w:rPr>
                <w:rFonts w:hint="eastAsia" w:asciiTheme="minorEastAsia" w:hAnsiTheme="minorEastAsia" w:eastAsiaTheme="minorEastAsia"/>
                <w:sz w:val="22"/>
              </w:rPr>
              <w:t>科研大数据分析平台</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数据集管理</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数据初步探查</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数据预处理</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数据分析</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结果展示</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restart"/>
            <w:tcBorders>
              <w:top w:val="nil"/>
              <w:left w:val="single" w:color="auto" w:sz="4" w:space="0"/>
              <w:right w:val="single" w:color="auto" w:sz="4" w:space="0"/>
            </w:tcBorders>
            <w:shd w:val="clear" w:color="auto" w:fill="auto"/>
            <w:noWrap/>
            <w:vAlign w:val="center"/>
          </w:tcPr>
          <w:p>
            <w:pPr>
              <w:snapToGrid w:val="0"/>
              <w:jc w:val="center"/>
              <w:textAlignment w:val="baseline"/>
              <w:rPr>
                <w:rFonts w:asciiTheme="minorEastAsia" w:hAnsiTheme="minorEastAsia" w:eastAsiaTheme="minorEastAsia"/>
                <w:sz w:val="20"/>
                <w:highlight w:val="none"/>
              </w:rPr>
            </w:pPr>
            <w:r>
              <w:rPr>
                <w:rFonts w:hint="eastAsia" w:asciiTheme="minorEastAsia" w:hAnsiTheme="minorEastAsia" w:eastAsiaTheme="minorEastAsia"/>
                <w:sz w:val="22"/>
                <w:highlight w:val="none"/>
              </w:rPr>
              <w:t>科研信息门户网站</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highlight w:val="none"/>
              </w:rPr>
            </w:pPr>
            <w:r>
              <w:rPr>
                <w:rFonts w:hint="eastAsia" w:asciiTheme="minorEastAsia" w:hAnsiTheme="minorEastAsia" w:eastAsiaTheme="minorEastAsia"/>
                <w:sz w:val="22"/>
                <w:highlight w:val="none"/>
              </w:rPr>
              <w:t>科研项目空间</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highlight w:val="none"/>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left w:val="single" w:color="auto" w:sz="4" w:space="0"/>
              <w:right w:val="single" w:color="auto" w:sz="4" w:space="0"/>
            </w:tcBorders>
            <w:shd w:val="clear" w:color="auto" w:fill="auto"/>
            <w:noWrap/>
            <w:vAlign w:val="center"/>
          </w:tcPr>
          <w:p>
            <w:pPr>
              <w:snapToGrid w:val="0"/>
              <w:jc w:val="center"/>
              <w:textAlignment w:val="baseline"/>
              <w:rPr>
                <w:rFonts w:asciiTheme="minorEastAsia" w:hAnsiTheme="minorEastAsia" w:eastAsiaTheme="minorEastAsia"/>
                <w:sz w:val="20"/>
                <w:highlight w:val="none"/>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highlight w:val="none"/>
              </w:rPr>
            </w:pPr>
            <w:r>
              <w:rPr>
                <w:rFonts w:hint="eastAsia" w:asciiTheme="minorEastAsia" w:hAnsiTheme="minorEastAsia" w:eastAsiaTheme="minorEastAsia"/>
                <w:sz w:val="22"/>
                <w:highlight w:val="none"/>
              </w:rPr>
              <w:t>科研动态</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highlight w:val="none"/>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left w:val="single" w:color="auto" w:sz="4" w:space="0"/>
              <w:bottom w:val="single" w:color="auto" w:sz="4" w:space="0"/>
              <w:right w:val="single" w:color="auto" w:sz="4" w:space="0"/>
            </w:tcBorders>
            <w:shd w:val="clear" w:color="auto" w:fill="auto"/>
            <w:vAlign w:val="center"/>
          </w:tcPr>
          <w:p>
            <w:pPr>
              <w:snapToGrid w:val="0"/>
              <w:textAlignment w:val="baseline"/>
              <w:rPr>
                <w:rFonts w:asciiTheme="minorEastAsia" w:hAnsiTheme="minorEastAsia" w:eastAsiaTheme="minorEastAsia"/>
                <w:sz w:val="20"/>
                <w:highlight w:val="none"/>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highlight w:val="none"/>
              </w:rPr>
            </w:pPr>
            <w:r>
              <w:rPr>
                <w:rFonts w:hint="eastAsia" w:asciiTheme="minorEastAsia" w:hAnsiTheme="minorEastAsia" w:eastAsiaTheme="minorEastAsia"/>
                <w:sz w:val="22"/>
                <w:highlight w:val="none"/>
              </w:rPr>
              <w:t>科研结果溯源</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highlight w:val="none"/>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数据应用安全管控平台</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科研材料签名管理模块</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r>
        <w:tblPrEx>
          <w:tblCellMar>
            <w:top w:w="0" w:type="dxa"/>
            <w:left w:w="108" w:type="dxa"/>
            <w:bottom w:w="0" w:type="dxa"/>
            <w:right w:w="108" w:type="dxa"/>
          </w:tblCellMar>
        </w:tblPrEx>
        <w:trPr>
          <w:trHeight w:val="280" w:hRule="atLeast"/>
          <w:jc w:val="center"/>
        </w:trPr>
        <w:tc>
          <w:tcPr>
            <w:tcW w:w="485" w:type="pct"/>
            <w:vMerge w:val="continue"/>
            <w:tcBorders>
              <w:top w:val="nil"/>
              <w:left w:val="single" w:color="auto" w:sz="4" w:space="0"/>
              <w:bottom w:val="single" w:color="000000" w:sz="4" w:space="0"/>
              <w:right w:val="single" w:color="auto" w:sz="4" w:space="0"/>
            </w:tcBorders>
            <w:vAlign w:val="center"/>
          </w:tcPr>
          <w:p>
            <w:pPr>
              <w:snapToGrid w:val="0"/>
              <w:textAlignment w:val="baseline"/>
              <w:rPr>
                <w:rFonts w:asciiTheme="minorEastAsia" w:hAnsiTheme="minorEastAsia" w:eastAsiaTheme="minorEastAsia"/>
                <w:sz w:val="20"/>
              </w:rPr>
            </w:pPr>
          </w:p>
        </w:tc>
        <w:tc>
          <w:tcPr>
            <w:tcW w:w="9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textAlignment w:val="baseline"/>
              <w:rPr>
                <w:rFonts w:asciiTheme="minorEastAsia" w:hAnsiTheme="minorEastAsia" w:eastAsiaTheme="minorEastAsia"/>
                <w:sz w:val="20"/>
              </w:rPr>
            </w:pP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asciiTheme="minorEastAsia" w:hAnsiTheme="minorEastAsia" w:eastAsiaTheme="minorEastAsia"/>
                <w:sz w:val="20"/>
              </w:rPr>
            </w:pPr>
            <w:r>
              <w:rPr>
                <w:rFonts w:hint="eastAsia" w:asciiTheme="minorEastAsia" w:hAnsiTheme="minorEastAsia" w:eastAsiaTheme="minorEastAsia"/>
                <w:sz w:val="22"/>
              </w:rPr>
              <w:t>数据调用行为监控及存证模块</w:t>
            </w:r>
          </w:p>
        </w:tc>
        <w:tc>
          <w:tcPr>
            <w:tcW w:w="1767" w:type="pct"/>
            <w:tcBorders>
              <w:top w:val="nil"/>
              <w:left w:val="nil"/>
              <w:bottom w:val="single" w:color="auto" w:sz="4" w:space="0"/>
              <w:right w:val="single" w:color="auto" w:sz="4" w:space="0"/>
            </w:tcBorders>
            <w:shd w:val="clear" w:color="auto" w:fill="auto"/>
            <w:noWrap/>
            <w:vAlign w:val="center"/>
          </w:tcPr>
          <w:p>
            <w:pPr>
              <w:snapToGrid w:val="0"/>
              <w:textAlignment w:val="baseline"/>
              <w:rPr>
                <w:rFonts w:hint="eastAsia" w:asciiTheme="minorEastAsia" w:hAnsiTheme="minorEastAsia" w:eastAsiaTheme="minorEastAsia"/>
                <w:sz w:val="22"/>
              </w:rPr>
            </w:pPr>
            <w:r>
              <w:rPr>
                <w:rFonts w:hint="eastAsia" w:asciiTheme="minorEastAsia" w:hAnsiTheme="minorEastAsia" w:eastAsiaTheme="minorEastAsia"/>
                <w:sz w:val="22"/>
                <w:lang w:val="en-US" w:eastAsia="zh-CN"/>
              </w:rPr>
              <w:t>详见（三）项目内容</w:t>
            </w:r>
          </w:p>
        </w:tc>
      </w:tr>
    </w:tbl>
    <w:p>
      <w:pPr>
        <w:spacing w:line="360" w:lineRule="auto"/>
        <w:ind w:firstLine="420"/>
        <w:rPr>
          <w:rFonts w:asciiTheme="minorEastAsia" w:hAnsiTheme="minorEastAsia" w:eastAsiaTheme="minorEastAsia"/>
        </w:rPr>
      </w:pPr>
      <w:r>
        <w:rPr>
          <w:rFonts w:hint="eastAsia" w:asciiTheme="minorEastAsia" w:hAnsiTheme="minorEastAsia" w:eastAsiaTheme="minorEastAsia"/>
        </w:rPr>
        <w:t>服务内容包含上述系统所有功能与数据开发服务。</w:t>
      </w:r>
    </w:p>
    <w:p>
      <w:pPr>
        <w:pStyle w:val="2"/>
        <w:spacing w:line="360" w:lineRule="auto"/>
        <w:ind w:leftChars="0"/>
        <w:rPr>
          <w:rFonts w:asciiTheme="minorEastAsia" w:hAnsiTheme="minorEastAsia" w:eastAsiaTheme="minorEastAsia"/>
        </w:rPr>
      </w:pPr>
      <w:r>
        <w:rPr>
          <w:rFonts w:hint="eastAsia" w:asciiTheme="minorEastAsia" w:hAnsiTheme="minorEastAsia" w:eastAsiaTheme="minorEastAsia"/>
        </w:rPr>
        <w:t>（三）项目内容</w:t>
      </w:r>
    </w:p>
    <w:p>
      <w:pPr>
        <w:pStyle w:val="4"/>
        <w:spacing w:line="360" w:lineRule="auto"/>
        <w:rPr>
          <w:rFonts w:asciiTheme="minorEastAsia" w:hAnsiTheme="minorEastAsia" w:eastAsiaTheme="minorEastAsia"/>
        </w:rPr>
      </w:pPr>
      <w:bookmarkStart w:id="0" w:name="_6.1.2、容器服务器"/>
      <w:bookmarkEnd w:id="0"/>
      <w:r>
        <w:rPr>
          <w:rFonts w:hint="eastAsia" w:asciiTheme="minorEastAsia" w:hAnsiTheme="minorEastAsia" w:eastAsiaTheme="minorEastAsia"/>
        </w:rPr>
        <w:t>（1）数据湖</w:t>
      </w:r>
    </w:p>
    <w:p>
      <w:pPr>
        <w:pStyle w:val="5"/>
        <w:spacing w:line="360" w:lineRule="auto"/>
        <w:rPr>
          <w:rFonts w:asciiTheme="minorEastAsia" w:hAnsiTheme="minorEastAsia" w:eastAsiaTheme="minorEastAsia"/>
        </w:rPr>
      </w:pPr>
      <w:r>
        <w:rPr>
          <w:rFonts w:hint="eastAsia" w:asciiTheme="minorEastAsia" w:hAnsiTheme="minorEastAsia" w:eastAsiaTheme="minorEastAsia"/>
        </w:rPr>
        <w:t>1.1数据湖基础平台</w:t>
      </w:r>
    </w:p>
    <w:p>
      <w:pPr>
        <w:spacing w:line="360" w:lineRule="auto"/>
        <w:ind w:left="420" w:firstLine="420"/>
        <w:rPr>
          <w:rFonts w:asciiTheme="minorEastAsia" w:hAnsiTheme="minorEastAsia" w:eastAsiaTheme="minorEastAsia"/>
        </w:rPr>
      </w:pPr>
      <w:r>
        <w:rPr>
          <w:rFonts w:hint="eastAsia" w:asciiTheme="minorEastAsia" w:hAnsiTheme="minorEastAsia" w:eastAsiaTheme="minorEastAsia"/>
        </w:rPr>
        <w:t>构建开放式全院数据湖基础平台，将各系统、各场景、各类型的海量数据统一入湖，支持每天百万级别离线采集数据调度任务、秒级实时采集数据入湖。主要的功能要求包括：</w:t>
      </w:r>
    </w:p>
    <w:p>
      <w:pPr>
        <w:pStyle w:val="21"/>
        <w:numPr>
          <w:ilvl w:val="0"/>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支持全景式数据采集入湖</w:t>
      </w:r>
    </w:p>
    <w:p>
      <w:pPr>
        <w:pStyle w:val="21"/>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多模态数据：关系型数据库数据、文本数据、图片数据、</w:t>
      </w:r>
      <w:r>
        <w:rPr>
          <w:rFonts w:asciiTheme="minorEastAsia" w:hAnsiTheme="minorEastAsia" w:eastAsiaTheme="minorEastAsia"/>
        </w:rPr>
        <w:t>PDF</w:t>
      </w:r>
      <w:r>
        <w:rPr>
          <w:rFonts w:hint="eastAsia" w:asciiTheme="minorEastAsia" w:hAnsiTheme="minorEastAsia" w:eastAsiaTheme="minorEastAsia"/>
        </w:rPr>
        <w:t>数据、检查影像数据（2D/3D、DICOM</w:t>
      </w:r>
      <w:r>
        <w:rPr>
          <w:rFonts w:asciiTheme="minorEastAsia" w:hAnsiTheme="minorEastAsia" w:eastAsiaTheme="minorEastAsia"/>
        </w:rPr>
        <w:t>/</w:t>
      </w:r>
      <w:r>
        <w:rPr>
          <w:rFonts w:hint="eastAsia" w:asciiTheme="minorEastAsia" w:hAnsiTheme="minorEastAsia" w:eastAsiaTheme="minorEastAsia"/>
        </w:rPr>
        <w:t>非DICOM）、音频数据、视频数据、基因组学类型数据等。</w:t>
      </w:r>
    </w:p>
    <w:p>
      <w:pPr>
        <w:pStyle w:val="21"/>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多来源数据：院内各场景数据（ODR、CDR、RDR</w:t>
      </w:r>
      <w:r>
        <w:rPr>
          <w:rFonts w:asciiTheme="minorEastAsia" w:hAnsiTheme="minorEastAsia" w:eastAsiaTheme="minorEastAsia"/>
        </w:rPr>
        <w:t>）</w:t>
      </w:r>
      <w:r>
        <w:rPr>
          <w:rFonts w:hint="eastAsia" w:asciiTheme="minorEastAsia" w:hAnsiTheme="minorEastAsia" w:eastAsiaTheme="minorEastAsia"/>
        </w:rPr>
        <w:t>、文献数据库（</w:t>
      </w:r>
      <w:r>
        <w:rPr>
          <w:rFonts w:asciiTheme="minorEastAsia" w:hAnsiTheme="minorEastAsia" w:eastAsiaTheme="minorEastAsia"/>
        </w:rPr>
        <w:t>pubmed</w:t>
      </w:r>
      <w:r>
        <w:rPr>
          <w:rFonts w:hint="eastAsia" w:asciiTheme="minorEastAsia" w:hAnsiTheme="minorEastAsia" w:eastAsiaTheme="minorEastAsia"/>
        </w:rPr>
        <w:t>）、政府医疗系统/数据中心、企业/高效合作数据项目等。</w:t>
      </w:r>
    </w:p>
    <w:p>
      <w:pPr>
        <w:pStyle w:val="21"/>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多方式采集：数据库同步采集、推送接口采集、页面数据抓取采集、文件上报采集等。</w:t>
      </w:r>
    </w:p>
    <w:p>
      <w:pPr>
        <w:pStyle w:val="21"/>
        <w:numPr>
          <w:ilvl w:val="0"/>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支持数据虚拟化技术</w:t>
      </w:r>
    </w:p>
    <w:p>
      <w:pPr>
        <w:pStyle w:val="21"/>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虚拟数据集成：允许在数据湖内集成和聚合来自不同物理位置和不同格式的数据，无需将数据移动到中央存储器中，降低存储成本。</w:t>
      </w:r>
    </w:p>
    <w:p>
      <w:pPr>
        <w:pStyle w:val="21"/>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虚拟数据访问：支持虚拟层数据的实时访问，并可以在虚拟视图中进行转换、操作和管理等操作。</w:t>
      </w:r>
    </w:p>
    <w:p>
      <w:pPr>
        <w:pStyle w:val="21"/>
        <w:numPr>
          <w:ilvl w:val="0"/>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支持流批一体架构</w:t>
      </w:r>
    </w:p>
    <w:p>
      <w:pPr>
        <w:pStyle w:val="21"/>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流批一体集成引擎：将不同来源的多模态数据通过流批一体的方式统一集成，业务系统通过实时变更数据捕捉接入数据湖，病历文书等数据以批量方式接入数据湖。</w:t>
      </w:r>
    </w:p>
    <w:p>
      <w:pPr>
        <w:pStyle w:val="21"/>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流批一体更新引擎：支持可视化配置一键入湖、支持千表秒级入湖、支持主键+字段更新。</w:t>
      </w:r>
    </w:p>
    <w:p>
      <w:pPr>
        <w:pStyle w:val="21"/>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流批一体计算引擎：支持数据统一计算，支持统一的SQL标准及多OLAP计算引擎，一套代码脚本支持开发流与批两种任务，提高资源利用效率。</w:t>
      </w:r>
    </w:p>
    <w:p>
      <w:pPr>
        <w:pStyle w:val="21"/>
        <w:numPr>
          <w:ilvl w:val="0"/>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支持湖仓一体架构</w:t>
      </w:r>
    </w:p>
    <w:p>
      <w:pPr>
        <w:pStyle w:val="21"/>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统一元数据管理：统一湖仓的元数据以及权限管理策略，湖仓共用同一套元数据，保证业务逻辑统一及数据口径一致性，形成一体化的数据入口，能够支撑上层多种分析工具对数据进行透明访问，提升数据湖应用的时效性。</w:t>
      </w:r>
    </w:p>
    <w:p>
      <w:pPr>
        <w:pStyle w:val="21"/>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统一建模管理：支持实时增量数据更新和全量数据更新的湖仓模型。</w:t>
      </w:r>
    </w:p>
    <w:p>
      <w:pPr>
        <w:pStyle w:val="21"/>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统一存储管理：支持结构化、半结构化、非结构化多模态数据统一存储。</w:t>
      </w:r>
    </w:p>
    <w:p>
      <w:pPr>
        <w:pStyle w:val="21"/>
        <w:numPr>
          <w:ilvl w:val="0"/>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支持国产化及开源技术</w:t>
      </w:r>
    </w:p>
    <w:p>
      <w:pPr>
        <w:pStyle w:val="21"/>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支持主流国产数据库的数据采集适配</w:t>
      </w:r>
    </w:p>
    <w:p>
      <w:pPr>
        <w:pStyle w:val="21"/>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使用国产及开源大数据技术构建数据湖</w:t>
      </w:r>
    </w:p>
    <w:p>
      <w:pPr>
        <w:pStyle w:val="5"/>
        <w:spacing w:line="360" w:lineRule="auto"/>
        <w:rPr>
          <w:rFonts w:asciiTheme="minorEastAsia" w:hAnsiTheme="minorEastAsia" w:eastAsiaTheme="minorEastAsia"/>
        </w:rPr>
      </w:pPr>
      <w:r>
        <w:rPr>
          <w:rFonts w:hint="eastAsia" w:asciiTheme="minorEastAsia" w:hAnsiTheme="minorEastAsia" w:eastAsiaTheme="minorEastAsia"/>
        </w:rPr>
        <w:t>1.2数据湖治理平台</w:t>
      </w:r>
    </w:p>
    <w:p>
      <w:pPr>
        <w:pStyle w:val="21"/>
        <w:spacing w:line="360" w:lineRule="auto"/>
        <w:ind w:left="420" w:firstLineChars="0"/>
        <w:rPr>
          <w:rFonts w:asciiTheme="minorEastAsia" w:hAnsiTheme="minorEastAsia" w:eastAsiaTheme="minorEastAsia"/>
        </w:rPr>
      </w:pPr>
      <w:r>
        <w:rPr>
          <w:rFonts w:hint="eastAsia" w:asciiTheme="minorEastAsia" w:hAnsiTheme="minorEastAsia" w:eastAsiaTheme="minorEastAsia"/>
        </w:rPr>
        <w:t>对数据湖所有数据进行统一治理，根据不同模态的数据内容在数据抽取、数据清洗、数据标准化、数据结构化、数据时序化等环节匹配适合的技术手段，加工成可便捷使用的高质量数据资产，满足科研、临床、运营等不同领域使用，主要的功能要求包括：</w:t>
      </w:r>
    </w:p>
    <w:p>
      <w:pPr>
        <w:pStyle w:val="21"/>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数据转模处理</w:t>
      </w:r>
    </w:p>
    <w:p>
      <w:pPr>
        <w:pStyle w:val="21"/>
        <w:spacing w:line="360" w:lineRule="auto"/>
        <w:ind w:left="1260" w:firstLineChars="0"/>
        <w:rPr>
          <w:rFonts w:asciiTheme="minorEastAsia" w:hAnsiTheme="minorEastAsia" w:eastAsiaTheme="minorEastAsia"/>
        </w:rPr>
      </w:pPr>
      <w:r>
        <w:rPr>
          <w:rFonts w:hint="eastAsia" w:asciiTheme="minorEastAsia" w:hAnsiTheme="minorEastAsia" w:eastAsiaTheme="minorEastAsia"/>
        </w:rPr>
        <w:t>根据不同模态类型的数据，进行数据转模、分类、数据特征提取、数据对象关联等操作。</w:t>
      </w:r>
    </w:p>
    <w:p>
      <w:pPr>
        <w:pStyle w:val="21"/>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医学影像：对入湖的医学影像进行分类和特征提取等处理，并与诊疗系统的电子诊断报告数据进行关联。</w:t>
      </w:r>
    </w:p>
    <w:p>
      <w:pPr>
        <w:pStyle w:val="21"/>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图片/</w:t>
      </w:r>
      <w:r>
        <w:rPr>
          <w:rFonts w:asciiTheme="minorEastAsia" w:hAnsiTheme="minorEastAsia" w:eastAsiaTheme="minorEastAsia"/>
        </w:rPr>
        <w:t>PDF</w:t>
      </w:r>
      <w:r>
        <w:rPr>
          <w:rFonts w:hint="eastAsia" w:asciiTheme="minorEastAsia" w:hAnsiTheme="minorEastAsia" w:eastAsiaTheme="minorEastAsia"/>
        </w:rPr>
        <w:t>：对入湖的的各类用户上传纸质文书/报告进行分类，并完成O</w:t>
      </w:r>
      <w:r>
        <w:rPr>
          <w:rFonts w:asciiTheme="minorEastAsia" w:hAnsiTheme="minorEastAsia" w:eastAsiaTheme="minorEastAsia"/>
        </w:rPr>
        <w:t>CR</w:t>
      </w:r>
      <w:r>
        <w:rPr>
          <w:rFonts w:hint="eastAsia" w:asciiTheme="minorEastAsia" w:hAnsiTheme="minorEastAsia" w:eastAsiaTheme="minorEastAsia"/>
        </w:rPr>
        <w:t>电子化识别，包括版式解析还原及结构数据提取等工作。</w:t>
      </w:r>
    </w:p>
    <w:p>
      <w:pPr>
        <w:pStyle w:val="21"/>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音频：对入湖的多场景音频数据进行分类，并进行语音内容、音轨的识别。</w:t>
      </w:r>
    </w:p>
    <w:p>
      <w:pPr>
        <w:pStyle w:val="21"/>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视频：对入湖的各类视频进行分类，并完成视频内主体生物特征和行为特征提取。</w:t>
      </w:r>
    </w:p>
    <w:p>
      <w:pPr>
        <w:pStyle w:val="21"/>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基因组学：针对16</w:t>
      </w:r>
      <w:r>
        <w:rPr>
          <w:rFonts w:asciiTheme="minorEastAsia" w:hAnsiTheme="minorEastAsia" w:eastAsiaTheme="minorEastAsia"/>
        </w:rPr>
        <w:t>s</w:t>
      </w:r>
      <w:r>
        <w:rPr>
          <w:rFonts w:hint="eastAsia" w:asciiTheme="minorEastAsia" w:hAnsiTheme="minorEastAsia" w:eastAsiaTheme="minorEastAsia"/>
        </w:rPr>
        <w:t>测序、宏观基因测试、蛋白质测序、三代基因测序等基因数据进行转换，提取生成基因表达值数据。</w:t>
      </w:r>
    </w:p>
    <w:p>
      <w:pPr>
        <w:pStyle w:val="21"/>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数据清洗处理</w:t>
      </w:r>
    </w:p>
    <w:p>
      <w:pPr>
        <w:pStyle w:val="21"/>
        <w:spacing w:line="360" w:lineRule="auto"/>
        <w:ind w:left="1260" w:firstLineChars="0"/>
        <w:rPr>
          <w:rFonts w:asciiTheme="minorEastAsia" w:hAnsiTheme="minorEastAsia" w:eastAsiaTheme="minorEastAsia"/>
        </w:rPr>
      </w:pPr>
      <w:r>
        <w:rPr>
          <w:rFonts w:hint="eastAsia" w:asciiTheme="minorEastAsia" w:hAnsiTheme="minorEastAsia" w:eastAsiaTheme="minorEastAsia"/>
        </w:rPr>
        <w:t>对采集的院内及院外数据，基于数据清洗规则，实现多种模态、百亿级数据的快速处理，以及数据自动清洗入库，保证入湖数据质量。</w:t>
      </w:r>
    </w:p>
    <w:tbl>
      <w:tblPr>
        <w:tblStyle w:val="14"/>
        <w:tblW w:w="5000" w:type="pct"/>
        <w:tblInd w:w="0" w:type="dxa"/>
        <w:tblLayout w:type="autofit"/>
        <w:tblCellMar>
          <w:top w:w="0" w:type="dxa"/>
          <w:left w:w="108" w:type="dxa"/>
          <w:bottom w:w="0" w:type="dxa"/>
          <w:right w:w="108" w:type="dxa"/>
        </w:tblCellMar>
      </w:tblPr>
      <w:tblGrid>
        <w:gridCol w:w="2217"/>
        <w:gridCol w:w="3945"/>
        <w:gridCol w:w="3124"/>
      </w:tblGrid>
      <w:tr>
        <w:tblPrEx>
          <w:tblCellMar>
            <w:top w:w="0" w:type="dxa"/>
            <w:left w:w="108" w:type="dxa"/>
            <w:bottom w:w="0" w:type="dxa"/>
            <w:right w:w="108" w:type="dxa"/>
          </w:tblCellMar>
        </w:tblPrEx>
        <w:trPr>
          <w:trHeight w:val="280" w:hRule="atLeast"/>
        </w:trPr>
        <w:tc>
          <w:tcPr>
            <w:tcW w:w="1194" w:type="pct"/>
            <w:tcBorders>
              <w:top w:val="single" w:color="auto" w:sz="4" w:space="0"/>
              <w:left w:val="single" w:color="auto" w:sz="4" w:space="0"/>
              <w:bottom w:val="single" w:color="auto" w:sz="4" w:space="0"/>
              <w:right w:val="single" w:color="auto" w:sz="4" w:space="0"/>
            </w:tcBorders>
            <w:shd w:val="clear" w:color="auto" w:fill="B8CCE4" w:themeFill="accent1" w:themeFillTint="66"/>
            <w:noWrap/>
            <w:vAlign w:val="center"/>
          </w:tcPr>
          <w:p>
            <w:pPr>
              <w:spacing w:line="360"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数据模态</w:t>
            </w:r>
          </w:p>
        </w:tc>
        <w:tc>
          <w:tcPr>
            <w:tcW w:w="2124" w:type="pct"/>
            <w:tcBorders>
              <w:top w:val="single" w:color="auto" w:sz="4" w:space="0"/>
              <w:left w:val="nil"/>
              <w:bottom w:val="single" w:color="auto" w:sz="4" w:space="0"/>
              <w:right w:val="single" w:color="auto" w:sz="4" w:space="0"/>
            </w:tcBorders>
            <w:shd w:val="clear" w:color="auto" w:fill="B8CCE4" w:themeFill="accent1" w:themeFillTint="66"/>
            <w:noWrap/>
            <w:vAlign w:val="center"/>
          </w:tcPr>
          <w:p>
            <w:pPr>
              <w:spacing w:line="360"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基础清洗</w:t>
            </w:r>
          </w:p>
        </w:tc>
        <w:tc>
          <w:tcPr>
            <w:tcW w:w="1682" w:type="pct"/>
            <w:tcBorders>
              <w:top w:val="single" w:color="auto" w:sz="4" w:space="0"/>
              <w:left w:val="nil"/>
              <w:bottom w:val="single" w:color="auto" w:sz="4" w:space="0"/>
              <w:right w:val="single" w:color="auto" w:sz="4" w:space="0"/>
            </w:tcBorders>
            <w:shd w:val="clear" w:color="auto" w:fill="B8CCE4" w:themeFill="accent1" w:themeFillTint="66"/>
            <w:noWrap/>
            <w:vAlign w:val="center"/>
          </w:tcPr>
          <w:p>
            <w:pPr>
              <w:spacing w:line="360"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高级清洗</w:t>
            </w:r>
          </w:p>
        </w:tc>
      </w:tr>
      <w:tr>
        <w:tblPrEx>
          <w:tblCellMar>
            <w:top w:w="0" w:type="dxa"/>
            <w:left w:w="108" w:type="dxa"/>
            <w:bottom w:w="0" w:type="dxa"/>
            <w:right w:w="108" w:type="dxa"/>
          </w:tblCellMar>
        </w:tblPrEx>
        <w:trPr>
          <w:trHeight w:val="280" w:hRule="atLeast"/>
        </w:trPr>
        <w:tc>
          <w:tcPr>
            <w:tcW w:w="1194"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结构化数据</w:t>
            </w:r>
          </w:p>
        </w:tc>
        <w:tc>
          <w:tcPr>
            <w:tcW w:w="2124" w:type="pct"/>
            <w:tcBorders>
              <w:top w:val="nil"/>
              <w:left w:val="nil"/>
              <w:bottom w:val="single" w:color="auto" w:sz="4" w:space="0"/>
              <w:right w:val="single" w:color="auto" w:sz="4" w:space="0"/>
            </w:tcBorders>
            <w:shd w:val="clear" w:color="auto" w:fill="auto"/>
            <w:noWrap/>
            <w:vAlign w:val="center"/>
          </w:tcPr>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非法、不规范数据识别</w:t>
            </w:r>
          </w:p>
        </w:tc>
        <w:tc>
          <w:tcPr>
            <w:tcW w:w="1682" w:type="pct"/>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基于AI模型和医学领域知识，对数据进行合理性校验</w:t>
            </w:r>
          </w:p>
        </w:tc>
      </w:tr>
      <w:tr>
        <w:tblPrEx>
          <w:tblCellMar>
            <w:top w:w="0" w:type="dxa"/>
            <w:left w:w="108" w:type="dxa"/>
            <w:bottom w:w="0" w:type="dxa"/>
            <w:right w:w="108" w:type="dxa"/>
          </w:tblCellMar>
        </w:tblPrEx>
        <w:trPr>
          <w:trHeight w:val="280" w:hRule="atLeast"/>
        </w:trPr>
        <w:tc>
          <w:tcPr>
            <w:tcW w:w="1194"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医学影像</w:t>
            </w:r>
          </w:p>
        </w:tc>
        <w:tc>
          <w:tcPr>
            <w:tcW w:w="2124" w:type="pct"/>
            <w:tcBorders>
              <w:top w:val="nil"/>
              <w:left w:val="nil"/>
              <w:bottom w:val="single" w:color="auto" w:sz="4" w:space="0"/>
              <w:right w:val="single" w:color="auto" w:sz="4" w:space="0"/>
            </w:tcBorders>
            <w:shd w:val="clear" w:color="auto" w:fill="auto"/>
            <w:noWrap/>
            <w:vAlign w:val="center"/>
          </w:tcPr>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无效、废弃影像识别</w:t>
            </w:r>
          </w:p>
        </w:tc>
        <w:tc>
          <w:tcPr>
            <w:tcW w:w="1682" w:type="pct"/>
            <w:vMerge w:val="continue"/>
            <w:tcBorders>
              <w:top w:val="nil"/>
              <w:left w:val="single" w:color="auto" w:sz="4" w:space="0"/>
              <w:bottom w:val="single" w:color="000000" w:sz="4" w:space="0"/>
              <w:right w:val="single" w:color="auto" w:sz="4" w:space="0"/>
            </w:tcBorders>
            <w:vAlign w:val="center"/>
          </w:tcPr>
          <w:p>
            <w:pPr>
              <w:spacing w:line="360" w:lineRule="auto"/>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280" w:hRule="atLeast"/>
        </w:trPr>
        <w:tc>
          <w:tcPr>
            <w:tcW w:w="1194"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图片/PDF</w:t>
            </w:r>
          </w:p>
        </w:tc>
        <w:tc>
          <w:tcPr>
            <w:tcW w:w="2124" w:type="pct"/>
            <w:tcBorders>
              <w:top w:val="nil"/>
              <w:left w:val="nil"/>
              <w:bottom w:val="single" w:color="auto" w:sz="4" w:space="0"/>
              <w:right w:val="single" w:color="auto" w:sz="4" w:space="0"/>
            </w:tcBorders>
            <w:shd w:val="clear" w:color="auto" w:fill="auto"/>
            <w:noWrap/>
            <w:vAlign w:val="center"/>
          </w:tcPr>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主体缺失、模糊图片识别</w:t>
            </w:r>
          </w:p>
        </w:tc>
        <w:tc>
          <w:tcPr>
            <w:tcW w:w="1682" w:type="pct"/>
            <w:vMerge w:val="continue"/>
            <w:tcBorders>
              <w:top w:val="nil"/>
              <w:left w:val="single" w:color="auto" w:sz="4" w:space="0"/>
              <w:bottom w:val="single" w:color="000000" w:sz="4" w:space="0"/>
              <w:right w:val="single" w:color="auto" w:sz="4" w:space="0"/>
            </w:tcBorders>
            <w:vAlign w:val="center"/>
          </w:tcPr>
          <w:p>
            <w:pPr>
              <w:spacing w:line="360" w:lineRule="auto"/>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280" w:hRule="atLeast"/>
        </w:trPr>
        <w:tc>
          <w:tcPr>
            <w:tcW w:w="1194"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音频</w:t>
            </w:r>
          </w:p>
        </w:tc>
        <w:tc>
          <w:tcPr>
            <w:tcW w:w="2124" w:type="pct"/>
            <w:tcBorders>
              <w:top w:val="nil"/>
              <w:left w:val="nil"/>
              <w:bottom w:val="single" w:color="auto" w:sz="4" w:space="0"/>
              <w:right w:val="single" w:color="auto" w:sz="4" w:space="0"/>
            </w:tcBorders>
            <w:shd w:val="clear" w:color="auto" w:fill="auto"/>
            <w:noWrap/>
            <w:vAlign w:val="center"/>
          </w:tcPr>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无效噪音识别、重复识别</w:t>
            </w:r>
          </w:p>
        </w:tc>
        <w:tc>
          <w:tcPr>
            <w:tcW w:w="1682" w:type="pct"/>
            <w:vMerge w:val="continue"/>
            <w:tcBorders>
              <w:top w:val="nil"/>
              <w:left w:val="single" w:color="auto" w:sz="4" w:space="0"/>
              <w:bottom w:val="single" w:color="000000" w:sz="4" w:space="0"/>
              <w:right w:val="single" w:color="auto" w:sz="4" w:space="0"/>
            </w:tcBorders>
            <w:vAlign w:val="center"/>
          </w:tcPr>
          <w:p>
            <w:pPr>
              <w:spacing w:line="360" w:lineRule="auto"/>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280" w:hRule="atLeast"/>
        </w:trPr>
        <w:tc>
          <w:tcPr>
            <w:tcW w:w="1194"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视频</w:t>
            </w:r>
          </w:p>
        </w:tc>
        <w:tc>
          <w:tcPr>
            <w:tcW w:w="2124" w:type="pct"/>
            <w:tcBorders>
              <w:top w:val="nil"/>
              <w:left w:val="nil"/>
              <w:bottom w:val="single" w:color="auto" w:sz="4" w:space="0"/>
              <w:right w:val="single" w:color="auto" w:sz="4" w:space="0"/>
            </w:tcBorders>
            <w:shd w:val="clear" w:color="auto" w:fill="auto"/>
            <w:noWrap/>
            <w:vAlign w:val="center"/>
          </w:tcPr>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无效噪点识别、重复识别</w:t>
            </w:r>
          </w:p>
        </w:tc>
        <w:tc>
          <w:tcPr>
            <w:tcW w:w="1682" w:type="pct"/>
            <w:vMerge w:val="continue"/>
            <w:tcBorders>
              <w:top w:val="nil"/>
              <w:left w:val="single" w:color="auto" w:sz="4" w:space="0"/>
              <w:bottom w:val="single" w:color="000000" w:sz="4" w:space="0"/>
              <w:right w:val="single" w:color="auto" w:sz="4" w:space="0"/>
            </w:tcBorders>
            <w:vAlign w:val="center"/>
          </w:tcPr>
          <w:p>
            <w:pPr>
              <w:spacing w:line="360" w:lineRule="auto"/>
              <w:rPr>
                <w:rFonts w:asciiTheme="minorEastAsia" w:hAnsiTheme="minorEastAsia" w:eastAsiaTheme="minorEastAsia"/>
                <w:sz w:val="22"/>
                <w:szCs w:val="22"/>
              </w:rPr>
            </w:pPr>
          </w:p>
        </w:tc>
      </w:tr>
    </w:tbl>
    <w:p>
      <w:pPr>
        <w:pStyle w:val="21"/>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数据标准处理</w:t>
      </w:r>
    </w:p>
    <w:p>
      <w:pPr>
        <w:pStyle w:val="21"/>
        <w:spacing w:line="360" w:lineRule="auto"/>
        <w:ind w:left="1260" w:firstLineChars="0"/>
        <w:rPr>
          <w:rFonts w:asciiTheme="minorEastAsia" w:hAnsiTheme="minorEastAsia" w:eastAsiaTheme="minorEastAsia"/>
        </w:rPr>
      </w:pPr>
      <w:r>
        <w:rPr>
          <w:rFonts w:hint="eastAsia" w:asciiTheme="minorEastAsia" w:hAnsiTheme="minorEastAsia" w:eastAsiaTheme="minorEastAsia"/>
        </w:rPr>
        <w:t>融合医学核心概念以及医学临床证据，构建医疗知识图谱平台，基于知识图谱建立数据标准，完成数据自动落标，实现高正确率的数据资产标准化。</w:t>
      </w:r>
    </w:p>
    <w:p>
      <w:pPr>
        <w:pStyle w:val="21"/>
        <w:numPr>
          <w:ilvl w:val="0"/>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建立数据标准</w:t>
      </w:r>
    </w:p>
    <w:p>
      <w:pPr>
        <w:pStyle w:val="21"/>
        <w:numPr>
          <w:ilvl w:val="1"/>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元数据标准，根据各业务场景的不同特点，可以对数据湖内各模态、各层级的元数据进行管理维护。</w:t>
      </w:r>
    </w:p>
    <w:p>
      <w:pPr>
        <w:pStyle w:val="21"/>
        <w:numPr>
          <w:ilvl w:val="1"/>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数据分类标准，通过知识图谱等技术可以自动生成、更新医疗数据分类标准。</w:t>
      </w:r>
    </w:p>
    <w:p>
      <w:pPr>
        <w:pStyle w:val="21"/>
        <w:numPr>
          <w:ilvl w:val="1"/>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术语标准化，基于S</w:t>
      </w:r>
      <w:r>
        <w:rPr>
          <w:rFonts w:asciiTheme="minorEastAsia" w:hAnsiTheme="minorEastAsia" w:eastAsiaTheme="minorEastAsia"/>
        </w:rPr>
        <w:t>NOMED-CT</w:t>
      </w:r>
      <w:r>
        <w:rPr>
          <w:rFonts w:hint="eastAsia" w:asciiTheme="minorEastAsia" w:hAnsiTheme="minorEastAsia" w:eastAsiaTheme="minorEastAsia"/>
        </w:rPr>
        <w:t>术语体系，针对疾病、药品、器械、症状等医学领域常用术语，进行自动识别规整。</w:t>
      </w:r>
    </w:p>
    <w:p>
      <w:pPr>
        <w:pStyle w:val="21"/>
        <w:numPr>
          <w:ilvl w:val="1"/>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编码/单位标准，对医学领域常用检查、诊断指标等数值数据，进行自动识别规整。</w:t>
      </w:r>
    </w:p>
    <w:p>
      <w:pPr>
        <w:pStyle w:val="21"/>
        <w:numPr>
          <w:ilvl w:val="1"/>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自定义规则模板，根据特定业务需要，可通过专家配置的方式对指定领域的数据配置标准规则模板。</w:t>
      </w:r>
    </w:p>
    <w:p>
      <w:pPr>
        <w:pStyle w:val="21"/>
        <w:numPr>
          <w:ilvl w:val="0"/>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数据自动落标</w:t>
      </w:r>
    </w:p>
    <w:p>
      <w:pPr>
        <w:pStyle w:val="21"/>
        <w:spacing w:line="360" w:lineRule="auto"/>
        <w:ind w:left="1683" w:firstLine="417" w:firstLineChars="0"/>
        <w:rPr>
          <w:rFonts w:asciiTheme="minorEastAsia" w:hAnsiTheme="minorEastAsia" w:eastAsiaTheme="minorEastAsia"/>
        </w:rPr>
      </w:pPr>
      <w:r>
        <w:rPr>
          <w:rFonts w:hint="eastAsia" w:asciiTheme="minorEastAsia" w:hAnsiTheme="minorEastAsia" w:eastAsiaTheme="minorEastAsia"/>
        </w:rPr>
        <w:t>根据平台的各种数据标准，将所有入湖数据进行自动落标操作，提高数据价值密度。</w:t>
      </w:r>
    </w:p>
    <w:p>
      <w:pPr>
        <w:pStyle w:val="21"/>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数据结构化处理</w:t>
      </w:r>
    </w:p>
    <w:p>
      <w:pPr>
        <w:pStyle w:val="21"/>
        <w:spacing w:line="360" w:lineRule="auto"/>
        <w:rPr>
          <w:rFonts w:asciiTheme="minorEastAsia" w:hAnsiTheme="minorEastAsia" w:eastAsiaTheme="minorEastAsia"/>
        </w:rPr>
      </w:pPr>
      <w:r>
        <w:rPr>
          <w:rFonts w:hint="eastAsia" w:asciiTheme="minorEastAsia" w:hAnsiTheme="minorEastAsia" w:eastAsiaTheme="minorEastAsia"/>
        </w:rPr>
        <w:t>基于自然语言理解（NLP）等技术，将非结构化或半结构化数据结构化，生成且具有高准确度的医学实体诊疗数据描述标准。</w:t>
      </w:r>
    </w:p>
    <w:tbl>
      <w:tblPr>
        <w:tblStyle w:val="15"/>
        <w:tblW w:w="43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8" w:type="pct"/>
            <w:shd w:val="clear" w:color="auto" w:fill="B8CCE4" w:themeFill="accent1" w:themeFillTint="66"/>
          </w:tcPr>
          <w:p>
            <w:pPr>
              <w:spacing w:line="360" w:lineRule="auto"/>
              <w:jc w:val="center"/>
              <w:rPr>
                <w:rFonts w:asciiTheme="minorEastAsia" w:hAnsiTheme="minorEastAsia" w:eastAsiaTheme="minorEastAsia"/>
              </w:rPr>
            </w:pPr>
            <w:r>
              <w:rPr>
                <w:rFonts w:hint="eastAsia" w:asciiTheme="minorEastAsia" w:hAnsiTheme="minorEastAsia" w:eastAsiaTheme="minorEastAsia"/>
              </w:rPr>
              <w:t>医学实体</w:t>
            </w:r>
          </w:p>
        </w:tc>
        <w:tc>
          <w:tcPr>
            <w:tcW w:w="4231" w:type="pct"/>
            <w:shd w:val="clear" w:color="auto" w:fill="B8CCE4" w:themeFill="accent1" w:themeFillTint="66"/>
          </w:tcPr>
          <w:p>
            <w:pPr>
              <w:spacing w:line="360" w:lineRule="auto"/>
              <w:jc w:val="center"/>
              <w:rPr>
                <w:rFonts w:asciiTheme="minorEastAsia" w:hAnsiTheme="minorEastAsia" w:eastAsiaTheme="minorEastAsia"/>
              </w:rPr>
            </w:pPr>
            <w:r>
              <w:rPr>
                <w:rFonts w:hint="eastAsia" w:asciiTheme="minorEastAsia" w:hAnsiTheme="minorEastAsia" w:eastAsiaTheme="minorEastAsia"/>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8" w:type="pct"/>
          </w:tcPr>
          <w:p>
            <w:pPr>
              <w:spacing w:line="360" w:lineRule="auto"/>
              <w:jc w:val="center"/>
              <w:rPr>
                <w:rFonts w:asciiTheme="minorEastAsia" w:hAnsiTheme="minorEastAsia" w:eastAsiaTheme="minorEastAsia"/>
              </w:rPr>
            </w:pPr>
            <w:r>
              <w:rPr>
                <w:rFonts w:hint="eastAsia" w:asciiTheme="minorEastAsia" w:hAnsiTheme="minorEastAsia" w:eastAsiaTheme="minorEastAsia"/>
              </w:rPr>
              <w:t>症状</w:t>
            </w:r>
          </w:p>
        </w:tc>
        <w:tc>
          <w:tcPr>
            <w:tcW w:w="4231" w:type="pct"/>
          </w:tcPr>
          <w:p>
            <w:pPr>
              <w:spacing w:line="360" w:lineRule="auto"/>
              <w:rPr>
                <w:rFonts w:asciiTheme="minorEastAsia" w:hAnsiTheme="minorEastAsia" w:eastAsiaTheme="minorEastAsia"/>
              </w:rPr>
            </w:pPr>
            <w:r>
              <w:rPr>
                <w:rFonts w:hint="eastAsia" w:asciiTheme="minorEastAsia" w:hAnsiTheme="minorEastAsia" w:eastAsiaTheme="minorEastAsia"/>
              </w:rPr>
              <w:t>部位、性质、程度、起病时间、持续时间、频率等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8" w:type="pct"/>
          </w:tcPr>
          <w:p>
            <w:pPr>
              <w:spacing w:line="360" w:lineRule="auto"/>
              <w:jc w:val="center"/>
              <w:rPr>
                <w:rFonts w:asciiTheme="minorEastAsia" w:hAnsiTheme="minorEastAsia" w:eastAsiaTheme="minorEastAsia"/>
              </w:rPr>
            </w:pPr>
            <w:r>
              <w:rPr>
                <w:rFonts w:hint="eastAsia" w:asciiTheme="minorEastAsia" w:hAnsiTheme="minorEastAsia" w:eastAsiaTheme="minorEastAsia"/>
              </w:rPr>
              <w:t>检验</w:t>
            </w:r>
          </w:p>
        </w:tc>
        <w:tc>
          <w:tcPr>
            <w:tcW w:w="4231" w:type="pct"/>
          </w:tcPr>
          <w:p>
            <w:pPr>
              <w:spacing w:line="360" w:lineRule="auto"/>
              <w:rPr>
                <w:rFonts w:asciiTheme="minorEastAsia" w:hAnsiTheme="minorEastAsia" w:eastAsiaTheme="minorEastAsia"/>
              </w:rPr>
            </w:pPr>
            <w:r>
              <w:rPr>
                <w:rFonts w:hint="eastAsia" w:asciiTheme="minorEastAsia" w:hAnsiTheme="minorEastAsia" w:eastAsiaTheme="minorEastAsia"/>
              </w:rPr>
              <w:t>检验分类、检验项目、结果值、单位、正常范围、异常标记等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68" w:type="pct"/>
          </w:tcPr>
          <w:p>
            <w:pPr>
              <w:spacing w:line="360" w:lineRule="auto"/>
              <w:jc w:val="center"/>
              <w:rPr>
                <w:rFonts w:asciiTheme="minorEastAsia" w:hAnsiTheme="minorEastAsia" w:eastAsiaTheme="minorEastAsia"/>
              </w:rPr>
            </w:pPr>
            <w:r>
              <w:rPr>
                <w:rFonts w:hint="eastAsia" w:asciiTheme="minorEastAsia" w:hAnsiTheme="minorEastAsia" w:eastAsiaTheme="minorEastAsia"/>
              </w:rPr>
              <w:t>检查</w:t>
            </w:r>
          </w:p>
        </w:tc>
        <w:tc>
          <w:tcPr>
            <w:tcW w:w="4231" w:type="pct"/>
          </w:tcPr>
          <w:p>
            <w:pPr>
              <w:spacing w:line="360" w:lineRule="auto"/>
              <w:rPr>
                <w:rFonts w:asciiTheme="minorEastAsia" w:hAnsiTheme="minorEastAsia" w:eastAsiaTheme="minorEastAsia"/>
              </w:rPr>
            </w:pPr>
            <w:r>
              <w:rPr>
                <w:rFonts w:hint="eastAsia" w:asciiTheme="minorEastAsia" w:hAnsiTheme="minorEastAsia" w:eastAsiaTheme="minorEastAsia"/>
              </w:rPr>
              <w:t>检查分类、检查项目、部位、大小、形状、性质、数量、病灶、颜色、病理分型等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68" w:type="pct"/>
          </w:tcPr>
          <w:p>
            <w:pPr>
              <w:spacing w:line="360" w:lineRule="auto"/>
              <w:jc w:val="center"/>
              <w:rPr>
                <w:rFonts w:asciiTheme="minorEastAsia" w:hAnsiTheme="minorEastAsia" w:eastAsiaTheme="minorEastAsia"/>
              </w:rPr>
            </w:pPr>
            <w:r>
              <w:rPr>
                <w:rFonts w:hint="eastAsia" w:asciiTheme="minorEastAsia" w:hAnsiTheme="minorEastAsia" w:eastAsiaTheme="minorEastAsia"/>
              </w:rPr>
              <w:t>疾病</w:t>
            </w:r>
          </w:p>
        </w:tc>
        <w:tc>
          <w:tcPr>
            <w:tcW w:w="4231" w:type="pct"/>
          </w:tcPr>
          <w:p>
            <w:pPr>
              <w:spacing w:line="360" w:lineRule="auto"/>
              <w:rPr>
                <w:rFonts w:hint="eastAsia" w:asciiTheme="minorEastAsia" w:hAnsiTheme="minorEastAsia" w:eastAsiaTheme="minorEastAsia"/>
                <w:lang w:val="en-US" w:eastAsia="zh-CN"/>
              </w:rPr>
            </w:pPr>
            <w:r>
              <w:rPr>
                <w:rFonts w:hint="eastAsia" w:asciiTheme="minorEastAsia" w:hAnsiTheme="minorEastAsia" w:eastAsiaTheme="minorEastAsia"/>
              </w:rPr>
              <w:t>名称、部位、特征、程度、是否既往、病程、分级、病理分型、转移部位、有效药、耐受药</w:t>
            </w:r>
            <w:r>
              <w:rPr>
                <w:rFonts w:hint="eastAsia" w:asciiTheme="minorEastAsia" w:hAnsiTheme="minorEastAsia" w:eastAsiaTheme="minorEastAsia"/>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8" w:type="pct"/>
          </w:tcPr>
          <w:p>
            <w:pPr>
              <w:spacing w:line="360" w:lineRule="auto"/>
              <w:jc w:val="center"/>
              <w:rPr>
                <w:rFonts w:asciiTheme="minorEastAsia" w:hAnsiTheme="minorEastAsia" w:eastAsiaTheme="minorEastAsia"/>
              </w:rPr>
            </w:pPr>
            <w:r>
              <w:rPr>
                <w:rFonts w:hint="eastAsia" w:asciiTheme="minorEastAsia" w:hAnsiTheme="minorEastAsia" w:eastAsiaTheme="minorEastAsia"/>
              </w:rPr>
              <w:t>药物</w:t>
            </w:r>
          </w:p>
        </w:tc>
        <w:tc>
          <w:tcPr>
            <w:tcW w:w="4231" w:type="pct"/>
          </w:tcPr>
          <w:p>
            <w:pPr>
              <w:spacing w:line="360" w:lineRule="auto"/>
              <w:rPr>
                <w:rFonts w:hint="eastAsia" w:asciiTheme="minorEastAsia" w:hAnsiTheme="minorEastAsia" w:eastAsiaTheme="minorEastAsia"/>
                <w:lang w:eastAsia="zh-CN"/>
              </w:rPr>
            </w:pPr>
            <w:r>
              <w:rPr>
                <w:rFonts w:hint="eastAsia" w:asciiTheme="minorEastAsia" w:hAnsiTheme="minorEastAsia" w:eastAsiaTheme="minorEastAsia"/>
              </w:rPr>
              <w:t>给药方式、用药频率、单次剂量、总剂量、药物分类、治疗原因</w:t>
            </w:r>
            <w:r>
              <w:rPr>
                <w:rFonts w:hint="eastAsia" w:asciiTheme="minorEastAsia" w:hAnsiTheme="minorEastAsia" w:eastAsiaTheme="minorEastAsia"/>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68" w:type="pct"/>
          </w:tcPr>
          <w:p>
            <w:pPr>
              <w:spacing w:line="360" w:lineRule="auto"/>
              <w:jc w:val="center"/>
              <w:rPr>
                <w:rFonts w:asciiTheme="minorEastAsia" w:hAnsiTheme="minorEastAsia" w:eastAsiaTheme="minorEastAsia"/>
              </w:rPr>
            </w:pPr>
            <w:r>
              <w:rPr>
                <w:rFonts w:hint="eastAsia" w:asciiTheme="minorEastAsia" w:hAnsiTheme="minorEastAsia" w:eastAsiaTheme="minorEastAsia"/>
              </w:rPr>
              <w:t>手术</w:t>
            </w:r>
          </w:p>
        </w:tc>
        <w:tc>
          <w:tcPr>
            <w:tcW w:w="4231" w:type="pct"/>
          </w:tcPr>
          <w:p>
            <w:pPr>
              <w:spacing w:line="360" w:lineRule="auto"/>
              <w:rPr>
                <w:rFonts w:hint="eastAsia" w:asciiTheme="minorEastAsia" w:hAnsiTheme="minorEastAsia" w:eastAsiaTheme="minorEastAsia"/>
                <w:lang w:eastAsia="zh-CN"/>
              </w:rPr>
            </w:pPr>
            <w:r>
              <w:rPr>
                <w:rFonts w:hint="eastAsia" w:asciiTheme="minorEastAsia" w:hAnsiTheme="minorEastAsia" w:eastAsiaTheme="minorEastAsia"/>
              </w:rPr>
              <w:t>部位、手术时间、手术类型、手术设备、疾病、麻醉方法、是否既往</w:t>
            </w:r>
            <w:r>
              <w:rPr>
                <w:rFonts w:hint="eastAsia" w:asciiTheme="minorEastAsia" w:hAnsiTheme="minorEastAsia" w:eastAsiaTheme="minorEastAsia"/>
                <w:lang w:eastAsia="zh-CN"/>
              </w:rPr>
              <w:t>等</w:t>
            </w:r>
          </w:p>
        </w:tc>
      </w:tr>
    </w:tbl>
    <w:p>
      <w:pPr>
        <w:pStyle w:val="21"/>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数据时序处理</w:t>
      </w:r>
    </w:p>
    <w:p>
      <w:pPr>
        <w:pStyle w:val="21"/>
        <w:spacing w:line="360" w:lineRule="auto"/>
        <w:ind w:left="1260" w:firstLineChars="0"/>
        <w:rPr>
          <w:rFonts w:asciiTheme="minorEastAsia" w:hAnsiTheme="minorEastAsia" w:eastAsiaTheme="minorEastAsia"/>
        </w:rPr>
      </w:pPr>
      <w:r>
        <w:rPr>
          <w:rFonts w:hint="eastAsia" w:asciiTheme="minorEastAsia" w:hAnsiTheme="minorEastAsia" w:eastAsiaTheme="minorEastAsia"/>
        </w:rPr>
        <w:t>基于医学各场景流程的事件识别，将入湖数据按时间序列汇总，提高数据可读性及可追溯性。</w:t>
      </w:r>
    </w:p>
    <w:p>
      <w:pPr>
        <w:pStyle w:val="21"/>
        <w:numPr>
          <w:ilvl w:val="0"/>
          <w:numId w:val="7"/>
        </w:numPr>
        <w:spacing w:line="360" w:lineRule="auto"/>
        <w:ind w:firstLineChars="0"/>
        <w:rPr>
          <w:rFonts w:asciiTheme="minorEastAsia" w:hAnsiTheme="minorEastAsia" w:eastAsiaTheme="minorEastAsia"/>
        </w:rPr>
      </w:pPr>
      <w:r>
        <w:rPr>
          <w:rFonts w:hint="eastAsia" w:asciiTheme="minorEastAsia" w:hAnsiTheme="minorEastAsia" w:eastAsiaTheme="minorEastAsia"/>
        </w:rPr>
        <w:t>患者诊疗流程：基于临床结局的轨迹，将患者院内外的数据打通，还原患者的检查、治疗、用药、随访等一系列轨迹。</w:t>
      </w:r>
    </w:p>
    <w:p>
      <w:pPr>
        <w:pStyle w:val="21"/>
        <w:numPr>
          <w:ilvl w:val="0"/>
          <w:numId w:val="7"/>
        </w:numPr>
        <w:spacing w:line="360" w:lineRule="auto"/>
        <w:ind w:firstLineChars="0"/>
        <w:rPr>
          <w:rFonts w:asciiTheme="minorEastAsia" w:hAnsiTheme="minorEastAsia" w:eastAsiaTheme="minorEastAsia"/>
        </w:rPr>
      </w:pPr>
      <w:r>
        <w:rPr>
          <w:rFonts w:hint="eastAsia" w:asciiTheme="minorEastAsia" w:hAnsiTheme="minorEastAsia" w:eastAsiaTheme="minorEastAsia"/>
        </w:rPr>
        <w:t>医院运营管理流程：按时间发展顺序整合医院诊疗、运营等各项数据。</w:t>
      </w:r>
    </w:p>
    <w:p>
      <w:pPr>
        <w:pStyle w:val="5"/>
        <w:spacing w:line="360" w:lineRule="auto"/>
        <w:rPr>
          <w:rFonts w:asciiTheme="minorEastAsia" w:hAnsiTheme="minorEastAsia" w:eastAsiaTheme="minorEastAsia"/>
        </w:rPr>
      </w:pPr>
      <w:r>
        <w:rPr>
          <w:rFonts w:hint="eastAsia" w:asciiTheme="minorEastAsia" w:hAnsiTheme="minorEastAsia" w:eastAsiaTheme="minorEastAsia"/>
        </w:rPr>
        <w:t>1.3数据湖资产平台</w:t>
      </w:r>
    </w:p>
    <w:p>
      <w:pPr>
        <w:spacing w:line="360" w:lineRule="auto"/>
        <w:ind w:left="420" w:firstLine="420"/>
        <w:rPr>
          <w:rFonts w:asciiTheme="minorEastAsia" w:hAnsiTheme="minorEastAsia" w:eastAsiaTheme="minorEastAsia"/>
        </w:rPr>
      </w:pPr>
      <w:r>
        <w:rPr>
          <w:rFonts w:hint="eastAsia" w:asciiTheme="minorEastAsia" w:hAnsiTheme="minorEastAsia" w:eastAsiaTheme="minorEastAsia"/>
        </w:rPr>
        <w:t>通过对数据进行持续和动态的全生命周期管理，完成数据资产化，助力医院全面掌握数据资产现状、优化数据使用、保障数据安全合规，为临床、科研、运营三大场景提供源源不断的数字化动力。主要的功能要求包括：</w:t>
      </w:r>
    </w:p>
    <w:p>
      <w:pPr>
        <w:pStyle w:val="21"/>
        <w:numPr>
          <w:ilvl w:val="0"/>
          <w:numId w:val="8"/>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数据资产编目管理</w:t>
      </w:r>
    </w:p>
    <w:p>
      <w:pPr>
        <w:spacing w:line="360" w:lineRule="auto"/>
        <w:ind w:left="1260" w:firstLine="420"/>
        <w:rPr>
          <w:rFonts w:asciiTheme="minorEastAsia" w:hAnsiTheme="minorEastAsia" w:eastAsiaTheme="minorEastAsia"/>
        </w:rPr>
      </w:pPr>
      <w:r>
        <w:rPr>
          <w:rFonts w:hint="eastAsia" w:asciiTheme="minorEastAsia" w:hAnsiTheme="minorEastAsia" w:eastAsiaTheme="minorEastAsia"/>
        </w:rPr>
        <w:t>将完成治理的各类数据进行盘点分类，完成资产编目操作，供各业务方查看使用。</w:t>
      </w:r>
    </w:p>
    <w:p>
      <w:pPr>
        <w:pStyle w:val="21"/>
        <w:numPr>
          <w:ilvl w:val="1"/>
          <w:numId w:val="8"/>
        </w:numPr>
        <w:spacing w:line="360" w:lineRule="auto"/>
        <w:ind w:firstLineChars="0"/>
        <w:rPr>
          <w:rFonts w:asciiTheme="minorEastAsia" w:hAnsiTheme="minorEastAsia" w:eastAsiaTheme="minorEastAsia"/>
        </w:rPr>
      </w:pPr>
      <w:r>
        <w:rPr>
          <w:rFonts w:hint="eastAsia" w:asciiTheme="minorEastAsia" w:hAnsiTheme="minorEastAsia" w:eastAsiaTheme="minorEastAsia"/>
        </w:rPr>
        <w:t>资产确权：可以根据各数据的采集-治理-加工链路信息，自动匹配数据属主，也可以支持配置规则模板、批量导入等方式手工对批量数据资产进行属主确权。</w:t>
      </w:r>
    </w:p>
    <w:p>
      <w:pPr>
        <w:pStyle w:val="21"/>
        <w:numPr>
          <w:ilvl w:val="1"/>
          <w:numId w:val="8"/>
        </w:numPr>
        <w:spacing w:line="360" w:lineRule="auto"/>
        <w:ind w:firstLineChars="0"/>
        <w:rPr>
          <w:rFonts w:asciiTheme="minorEastAsia" w:hAnsiTheme="minorEastAsia" w:eastAsiaTheme="minorEastAsia"/>
        </w:rPr>
      </w:pPr>
      <w:r>
        <w:rPr>
          <w:rFonts w:hint="eastAsia" w:asciiTheme="minorEastAsia" w:hAnsiTheme="minorEastAsia" w:eastAsiaTheme="minorEastAsia"/>
        </w:rPr>
        <w:t>资产目录管理：可以灵活配置数据资产目录，如按照业务场景、所属业务、主题域等多种方式。</w:t>
      </w:r>
    </w:p>
    <w:p>
      <w:pPr>
        <w:pStyle w:val="21"/>
        <w:numPr>
          <w:ilvl w:val="0"/>
          <w:numId w:val="8"/>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数据资产使用管理</w:t>
      </w:r>
    </w:p>
    <w:p>
      <w:pPr>
        <w:pStyle w:val="21"/>
        <w:numPr>
          <w:ilvl w:val="0"/>
          <w:numId w:val="9"/>
        </w:numPr>
        <w:spacing w:line="360" w:lineRule="auto"/>
        <w:ind w:firstLineChars="0"/>
        <w:rPr>
          <w:rFonts w:asciiTheme="minorEastAsia" w:hAnsiTheme="minorEastAsia" w:eastAsiaTheme="minorEastAsia"/>
        </w:rPr>
      </w:pPr>
      <w:r>
        <w:rPr>
          <w:rFonts w:hint="eastAsia" w:asciiTheme="minorEastAsia" w:hAnsiTheme="minorEastAsia" w:eastAsiaTheme="minorEastAsia"/>
        </w:rPr>
        <w:t>生命周期管理：数据资产属主可以对湖内的数据资产进行上下架操作，供各业务方进行申请使用。</w:t>
      </w:r>
    </w:p>
    <w:p>
      <w:pPr>
        <w:pStyle w:val="21"/>
        <w:numPr>
          <w:ilvl w:val="0"/>
          <w:numId w:val="9"/>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数据使用管理：提供数据申请-审核流程，数据使用方发起数据资产使用申请，数据属主审批后方可授权。</w:t>
      </w:r>
    </w:p>
    <w:p>
      <w:pPr>
        <w:pStyle w:val="21"/>
        <w:numPr>
          <w:ilvl w:val="0"/>
          <w:numId w:val="8"/>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数据资产共享管理</w:t>
      </w:r>
    </w:p>
    <w:p>
      <w:pPr>
        <w:pStyle w:val="21"/>
        <w:numPr>
          <w:ilvl w:val="0"/>
          <w:numId w:val="10"/>
        </w:numPr>
        <w:spacing w:line="360" w:lineRule="auto"/>
        <w:ind w:firstLineChars="0"/>
        <w:rPr>
          <w:rFonts w:asciiTheme="minorEastAsia" w:hAnsiTheme="minorEastAsia" w:eastAsiaTheme="minorEastAsia"/>
        </w:rPr>
      </w:pPr>
      <w:r>
        <w:rPr>
          <w:rFonts w:hint="eastAsia" w:asciiTheme="minorEastAsia" w:hAnsiTheme="minorEastAsia" w:eastAsiaTheme="minorEastAsia"/>
        </w:rPr>
        <w:t>共享权限管理：配置管理外部共享机构白名单，只有合作认证的机构才允许与本院进行数据资产共享。</w:t>
      </w:r>
    </w:p>
    <w:p>
      <w:pPr>
        <w:pStyle w:val="21"/>
        <w:numPr>
          <w:ilvl w:val="0"/>
          <w:numId w:val="10"/>
        </w:numPr>
        <w:spacing w:line="360" w:lineRule="auto"/>
        <w:ind w:firstLineChars="0"/>
        <w:rPr>
          <w:rFonts w:asciiTheme="minorEastAsia" w:hAnsiTheme="minorEastAsia" w:eastAsiaTheme="minorEastAsia"/>
        </w:rPr>
      </w:pPr>
      <w:r>
        <w:rPr>
          <w:rFonts w:hint="eastAsia" w:asciiTheme="minorEastAsia" w:hAnsiTheme="minorEastAsia" w:eastAsiaTheme="minorEastAsia"/>
        </w:rPr>
        <w:t>共享碰撞管理：支持在隐私计算环境中对内外部数据资产进行共享碰撞，预分析共享碰撞的效果，支持后续流程。</w:t>
      </w:r>
    </w:p>
    <w:p>
      <w:pPr>
        <w:pStyle w:val="21"/>
        <w:numPr>
          <w:ilvl w:val="0"/>
          <w:numId w:val="10"/>
        </w:numPr>
        <w:spacing w:line="360" w:lineRule="auto"/>
        <w:ind w:firstLineChars="0"/>
        <w:rPr>
          <w:rFonts w:asciiTheme="minorEastAsia" w:hAnsiTheme="minorEastAsia" w:eastAsiaTheme="minorEastAsia"/>
        </w:rPr>
      </w:pPr>
      <w:r>
        <w:rPr>
          <w:rFonts w:hint="eastAsia" w:asciiTheme="minorEastAsia" w:hAnsiTheme="minorEastAsia" w:eastAsiaTheme="minorEastAsia"/>
        </w:rPr>
        <w:t>共享配送管理：提供以不可追溯的模型结果输出方式对数据资产进行共享，保障明细数据不泄露，再通过算法保证结果加密。</w:t>
      </w:r>
    </w:p>
    <w:p>
      <w:pPr>
        <w:pStyle w:val="5"/>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.4</w:t>
      </w:r>
      <w:r>
        <w:rPr>
          <w:rFonts w:hint="eastAsia" w:asciiTheme="minorEastAsia" w:hAnsiTheme="minorEastAsia" w:eastAsiaTheme="minorEastAsia"/>
        </w:rPr>
        <w:t>数据湖安全平台</w:t>
      </w:r>
    </w:p>
    <w:p>
      <w:pPr>
        <w:pStyle w:val="21"/>
        <w:numPr>
          <w:ilvl w:val="0"/>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数据安全管理</w:t>
      </w:r>
    </w:p>
    <w:p>
      <w:pPr>
        <w:pStyle w:val="21"/>
        <w:numPr>
          <w:ilvl w:val="1"/>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数据隔离模块：可根据业务需求，在数据湖内建立互相独立的数据安全池及数据交互池存储各模态数据，保证不同领域不同安全等级数据的安全隔离并支持上层应用关联分析。</w:t>
      </w:r>
    </w:p>
    <w:p>
      <w:pPr>
        <w:pStyle w:val="21"/>
        <w:numPr>
          <w:ilvl w:val="0"/>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数据脱敏</w:t>
      </w:r>
    </w:p>
    <w:p>
      <w:pPr>
        <w:pStyle w:val="21"/>
        <w:numPr>
          <w:ilvl w:val="1"/>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数据脱敏模块：建立医疗领域的敏感数据分类分级规范，通过脱敏等安全措施保障数据隐私不泄露。</w:t>
      </w:r>
    </w:p>
    <w:p>
      <w:pPr>
        <w:pStyle w:val="21"/>
        <w:numPr>
          <w:ilvl w:val="0"/>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权限控制</w:t>
      </w:r>
    </w:p>
    <w:p>
      <w:pPr>
        <w:pStyle w:val="21"/>
        <w:numPr>
          <w:ilvl w:val="1"/>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权限控制模块：建立针对数据内容及基础资源的独立权限控制系统，可根据业务需要进行灵活配置的细粒度授权管理，实现按需申请提供最小数据集。</w:t>
      </w:r>
    </w:p>
    <w:p>
      <w:pPr>
        <w:pStyle w:val="21"/>
        <w:numPr>
          <w:ilvl w:val="0"/>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输出控制</w:t>
      </w:r>
    </w:p>
    <w:p>
      <w:pPr>
        <w:pStyle w:val="21"/>
        <w:numPr>
          <w:ilvl w:val="1"/>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输出控制模块：不提供底层明细数据的导出功能，通过不同的分析工具满足用户不同场景的数据分析功能，保证原始数据可用而不可见。</w:t>
      </w:r>
    </w:p>
    <w:p>
      <w:pPr>
        <w:pStyle w:val="21"/>
        <w:numPr>
          <w:ilvl w:val="0"/>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数据加密</w:t>
      </w:r>
    </w:p>
    <w:p>
      <w:pPr>
        <w:pStyle w:val="21"/>
        <w:numPr>
          <w:ilvl w:val="1"/>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数据加密模块：支持对敏感数据做加密处理，如采用国密算法做对称加密或非对称加密、采用同态加密算法保障全流程隐私数据可用不可见。</w:t>
      </w:r>
    </w:p>
    <w:p>
      <w:pPr>
        <w:pStyle w:val="21"/>
        <w:numPr>
          <w:ilvl w:val="0"/>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隐私计算</w:t>
      </w:r>
    </w:p>
    <w:p>
      <w:pPr>
        <w:pStyle w:val="21"/>
        <w:numPr>
          <w:ilvl w:val="1"/>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隐私计算模块：在具体的数据运算使用业务中，利用密文计算、隐私求交技术，实现基于密文数据的查询、碰撞和建模方面的服务。</w:t>
      </w:r>
    </w:p>
    <w:p>
      <w:pPr>
        <w:pStyle w:val="21"/>
        <w:numPr>
          <w:ilvl w:val="0"/>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数据权属认证</w:t>
      </w:r>
    </w:p>
    <w:p>
      <w:pPr>
        <w:pStyle w:val="21"/>
        <w:numPr>
          <w:ilvl w:val="1"/>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数据权属认证模块：通过</w:t>
      </w:r>
      <w:r>
        <w:rPr>
          <w:rFonts w:asciiTheme="minorEastAsia" w:hAnsiTheme="minorEastAsia" w:eastAsiaTheme="minorEastAsia"/>
        </w:rPr>
        <w:t>CA认证技术，对数据湖中的数据实现数据属主确认、确权、鉴权服务，实现数据使用全流程中的属主定位鉴权，保障数据属主权益，增强数据资产管理。</w:t>
      </w:r>
    </w:p>
    <w:p>
      <w:pPr>
        <w:pStyle w:val="4"/>
        <w:spacing w:line="360" w:lineRule="auto"/>
        <w:rPr>
          <w:rFonts w:asciiTheme="minorEastAsia" w:hAnsiTheme="minorEastAsia" w:eastAsiaTheme="minorEastAsia"/>
        </w:rPr>
      </w:pPr>
      <w:r>
        <w:rPr>
          <w:rFonts w:hint="eastAsia" w:asciiTheme="minorEastAsia" w:hAnsiTheme="minorEastAsia" w:eastAsiaTheme="minorEastAsia"/>
        </w:rPr>
        <w:t>（2）数据应用</w:t>
      </w:r>
    </w:p>
    <w:p>
      <w:pPr>
        <w:pStyle w:val="5"/>
        <w:spacing w:line="360" w:lineRule="auto"/>
        <w:rPr>
          <w:rFonts w:asciiTheme="minorEastAsia" w:hAnsiTheme="minorEastAsia" w:eastAsiaTheme="minorEastAsia"/>
        </w:rPr>
      </w:pPr>
      <w:r>
        <w:rPr>
          <w:rFonts w:hint="eastAsia" w:asciiTheme="minorEastAsia" w:hAnsiTheme="minorEastAsia" w:eastAsiaTheme="minorEastAsia"/>
        </w:rPr>
        <w:t>2.1科研智能搜索平台</w:t>
      </w:r>
    </w:p>
    <w:p>
      <w:pPr>
        <w:spacing w:line="360" w:lineRule="auto"/>
        <w:ind w:left="420" w:firstLine="420"/>
        <w:rPr>
          <w:rFonts w:asciiTheme="minorEastAsia" w:hAnsiTheme="minorEastAsia" w:eastAsiaTheme="minorEastAsia"/>
        </w:rPr>
      </w:pPr>
      <w:r>
        <w:rPr>
          <w:rFonts w:hint="eastAsia" w:asciiTheme="minorEastAsia" w:hAnsiTheme="minorEastAsia" w:eastAsiaTheme="minorEastAsia"/>
        </w:rPr>
        <w:t>基于数据湖内治理后的数据资产，提供传统及智能两种方式进行检索筛选，以定位其中符合特定临床研究所需的患者、疾病等各种数据。节省科研人员阅读病历及筛选的时间，并防止收集数据出现遗漏。</w:t>
      </w:r>
    </w:p>
    <w:p>
      <w:pPr>
        <w:pStyle w:val="21"/>
        <w:numPr>
          <w:ilvl w:val="0"/>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传统高级搜索</w:t>
      </w:r>
    </w:p>
    <w:p>
      <w:pPr>
        <w:pStyle w:val="21"/>
        <w:numPr>
          <w:ilvl w:val="1"/>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全文检索：基于标准化、结构化、时序化处理后的医疗数据，建立倒排索引文件，提供符合科研用户使用习惯的快速、高相关性的全文搜索服务。</w:t>
      </w:r>
    </w:p>
    <w:p>
      <w:pPr>
        <w:pStyle w:val="21"/>
        <w:numPr>
          <w:ilvl w:val="1"/>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精确/模糊检索：支持精确和模糊两种检索匹配方式，满足客户使用ID、描述等不同字段去检索的各种场景。</w:t>
      </w:r>
    </w:p>
    <w:p>
      <w:pPr>
        <w:pStyle w:val="21"/>
        <w:numPr>
          <w:ilvl w:val="1"/>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组合嵌套搜索：以条件树形式可视化直观展示搜索内容，支持拖拽方式快速配置医学复杂逻辑关系的多层级嵌套查询条件，匹配查询结果集，辅助开展回顾性研究。</w:t>
      </w:r>
    </w:p>
    <w:p>
      <w:pPr>
        <w:pStyle w:val="21"/>
        <w:numPr>
          <w:ilvl w:val="1"/>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排序/筛选辅助功能：</w:t>
      </w:r>
      <w:r>
        <w:rPr>
          <w:rFonts w:asciiTheme="minorEastAsia" w:hAnsiTheme="minorEastAsia" w:eastAsiaTheme="minorEastAsia"/>
        </w:rPr>
        <w:t>支持用户对搜索</w:t>
      </w:r>
      <w:r>
        <w:rPr>
          <w:rFonts w:hint="eastAsia" w:asciiTheme="minorEastAsia" w:hAnsiTheme="minorEastAsia" w:eastAsiaTheme="minorEastAsia"/>
        </w:rPr>
        <w:t>结果按照时间、科室、主管医生、患者信息等多种维度</w:t>
      </w:r>
      <w:r>
        <w:rPr>
          <w:rFonts w:asciiTheme="minorEastAsia" w:hAnsiTheme="minorEastAsia" w:eastAsiaTheme="minorEastAsia"/>
        </w:rPr>
        <w:t>进行排序</w:t>
      </w:r>
      <w:r>
        <w:rPr>
          <w:rFonts w:hint="eastAsia" w:asciiTheme="minorEastAsia" w:hAnsiTheme="minorEastAsia" w:eastAsiaTheme="minorEastAsia"/>
        </w:rPr>
        <w:t>或</w:t>
      </w:r>
      <w:r>
        <w:rPr>
          <w:rFonts w:asciiTheme="minorEastAsia" w:hAnsiTheme="minorEastAsia" w:eastAsiaTheme="minorEastAsia"/>
        </w:rPr>
        <w:t>二次过滤筛选</w:t>
      </w:r>
      <w:r>
        <w:rPr>
          <w:rFonts w:hint="eastAsia" w:asciiTheme="minorEastAsia" w:hAnsiTheme="minorEastAsia" w:eastAsiaTheme="minorEastAsia"/>
        </w:rPr>
        <w:t>。</w:t>
      </w:r>
    </w:p>
    <w:p>
      <w:pPr>
        <w:pStyle w:val="21"/>
        <w:numPr>
          <w:ilvl w:val="0"/>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智能科研检索</w:t>
      </w:r>
    </w:p>
    <w:p>
      <w:pPr>
        <w:pStyle w:val="21"/>
        <w:numPr>
          <w:ilvl w:val="1"/>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问答模式智能搜索：</w:t>
      </w:r>
      <w:r>
        <w:rPr>
          <w:rFonts w:asciiTheme="minorEastAsia" w:hAnsiTheme="minorEastAsia" w:eastAsiaTheme="minorEastAsia"/>
        </w:rPr>
        <w:t>基于</w:t>
      </w:r>
      <w:r>
        <w:rPr>
          <w:rFonts w:hint="eastAsia" w:asciiTheme="minorEastAsia" w:hAnsiTheme="minorEastAsia" w:eastAsiaTheme="minorEastAsia"/>
        </w:rPr>
        <w:t>科研</w:t>
      </w:r>
      <w:r>
        <w:rPr>
          <w:rFonts w:asciiTheme="minorEastAsia" w:hAnsiTheme="minorEastAsia" w:eastAsiaTheme="minorEastAsia"/>
        </w:rPr>
        <w:t>用户实际科研或管理需求，</w:t>
      </w:r>
      <w:r>
        <w:rPr>
          <w:rFonts w:hint="eastAsia" w:asciiTheme="minorEastAsia" w:hAnsiTheme="minorEastAsia" w:eastAsiaTheme="minorEastAsia"/>
        </w:rPr>
        <w:t>提供自然语音问答模式的智能搜索搜索功能，实现如“二次化疗后，心肌酶显著升高的患者”，“本科室去年口服抗生素剂量在</w:t>
      </w:r>
      <w:r>
        <w:rPr>
          <w:rFonts w:asciiTheme="minorEastAsia" w:hAnsiTheme="minorEastAsia" w:eastAsiaTheme="minorEastAsia"/>
        </w:rPr>
        <w:t>2片以上的患者”，“产检连续2次血压在140/90mmHg以上的患者”等</w:t>
      </w:r>
      <w:r>
        <w:rPr>
          <w:rFonts w:hint="eastAsia" w:asciiTheme="minorEastAsia" w:hAnsiTheme="minorEastAsia" w:eastAsiaTheme="minorEastAsia"/>
        </w:rPr>
        <w:t>复杂化搜索意图</w:t>
      </w:r>
      <w:r>
        <w:rPr>
          <w:rFonts w:asciiTheme="minorEastAsia" w:hAnsiTheme="minorEastAsia" w:eastAsiaTheme="minorEastAsia"/>
        </w:rPr>
        <w:t>，能快速智能化返回用户搜索结果。</w:t>
      </w:r>
    </w:p>
    <w:p>
      <w:pPr>
        <w:pStyle w:val="21"/>
        <w:numPr>
          <w:ilvl w:val="1"/>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搜索结果分析：</w:t>
      </w:r>
      <w:r>
        <w:rPr>
          <w:rFonts w:asciiTheme="minorEastAsia" w:hAnsiTheme="minorEastAsia" w:eastAsiaTheme="minorEastAsia"/>
        </w:rPr>
        <w:t>提供</w:t>
      </w:r>
      <w:r>
        <w:rPr>
          <w:rFonts w:hint="eastAsia" w:asciiTheme="minorEastAsia" w:hAnsiTheme="minorEastAsia" w:eastAsiaTheme="minorEastAsia"/>
        </w:rPr>
        <w:t>结果</w:t>
      </w:r>
      <w:r>
        <w:rPr>
          <w:rFonts w:asciiTheme="minorEastAsia" w:hAnsiTheme="minorEastAsia" w:eastAsiaTheme="minorEastAsia"/>
        </w:rPr>
        <w:t>数据特征分布分析</w:t>
      </w:r>
      <w:r>
        <w:rPr>
          <w:rFonts w:hint="eastAsia" w:asciiTheme="minorEastAsia" w:hAnsiTheme="minorEastAsia" w:eastAsiaTheme="minorEastAsia"/>
        </w:rPr>
        <w:t>展示，满足科研用户对数据集质量的预分析需求。</w:t>
      </w:r>
    </w:p>
    <w:p>
      <w:pPr>
        <w:pStyle w:val="5"/>
        <w:spacing w:line="360" w:lineRule="auto"/>
        <w:rPr>
          <w:rFonts w:asciiTheme="minorEastAsia" w:hAnsiTheme="minorEastAsia" w:eastAsiaTheme="minorEastAsia"/>
        </w:rPr>
      </w:pPr>
      <w:r>
        <w:rPr>
          <w:rFonts w:hint="eastAsia" w:asciiTheme="minorEastAsia" w:hAnsiTheme="minorEastAsia" w:eastAsiaTheme="minorEastAsia"/>
        </w:rPr>
        <w:t>2.2科研学术服务平台</w:t>
      </w:r>
    </w:p>
    <w:p>
      <w:pPr>
        <w:spacing w:line="360" w:lineRule="auto"/>
        <w:ind w:left="420" w:firstLine="420"/>
        <w:rPr>
          <w:rFonts w:asciiTheme="minorEastAsia" w:hAnsiTheme="minorEastAsia" w:eastAsiaTheme="minorEastAsia"/>
        </w:rPr>
      </w:pPr>
      <w:r>
        <w:rPr>
          <w:rFonts w:hint="eastAsia" w:asciiTheme="minorEastAsia" w:hAnsiTheme="minorEastAsia" w:eastAsiaTheme="minorEastAsia"/>
        </w:rPr>
        <w:t>提供一站式的医学文献数据库查询入口，并提供各个领域的科研热点、文献分布、研究趋势等科研辅助服务。</w:t>
      </w:r>
    </w:p>
    <w:p>
      <w:pPr>
        <w:pStyle w:val="21"/>
        <w:numPr>
          <w:ilvl w:val="0"/>
          <w:numId w:val="13"/>
        </w:numPr>
        <w:spacing w:line="360" w:lineRule="auto"/>
        <w:ind w:firstLineChars="0"/>
        <w:rPr>
          <w:rFonts w:asciiTheme="minorEastAsia" w:hAnsiTheme="minorEastAsia" w:eastAsiaTheme="minorEastAsia"/>
        </w:rPr>
      </w:pPr>
      <w:r>
        <w:rPr>
          <w:rFonts w:hint="eastAsia" w:asciiTheme="minorEastAsia" w:hAnsiTheme="minorEastAsia" w:eastAsiaTheme="minorEastAsia"/>
        </w:rPr>
        <w:t>统一文献服务</w:t>
      </w:r>
    </w:p>
    <w:p>
      <w:pPr>
        <w:pStyle w:val="21"/>
        <w:numPr>
          <w:ilvl w:val="1"/>
          <w:numId w:val="13"/>
        </w:numPr>
        <w:spacing w:line="360" w:lineRule="auto"/>
        <w:ind w:firstLineChars="0"/>
        <w:rPr>
          <w:rFonts w:asciiTheme="minorEastAsia" w:hAnsiTheme="minorEastAsia" w:eastAsiaTheme="minorEastAsia"/>
        </w:rPr>
      </w:pPr>
      <w:r>
        <w:rPr>
          <w:rFonts w:hint="eastAsia" w:asciiTheme="minorEastAsia" w:hAnsiTheme="minorEastAsia" w:eastAsiaTheme="minorEastAsia"/>
        </w:rPr>
        <w:t>支持</w:t>
      </w:r>
      <w:r>
        <w:rPr>
          <w:rFonts w:asciiTheme="minorEastAsia" w:hAnsiTheme="minorEastAsia" w:eastAsiaTheme="minorEastAsia"/>
        </w:rPr>
        <w:t>Pubmed</w:t>
      </w:r>
      <w:r>
        <w:rPr>
          <w:rFonts w:hint="eastAsia" w:asciiTheme="minorEastAsia" w:hAnsiTheme="minorEastAsia" w:eastAsiaTheme="minorEastAsia"/>
        </w:rPr>
        <w:t>、</w:t>
      </w:r>
      <w:r>
        <w:rPr>
          <w:rFonts w:asciiTheme="minorEastAsia" w:hAnsiTheme="minorEastAsia" w:eastAsiaTheme="minorEastAsia"/>
        </w:rPr>
        <w:t>CNKI</w:t>
      </w:r>
      <w:r>
        <w:rPr>
          <w:rFonts w:hint="eastAsia" w:asciiTheme="minorEastAsia" w:hAnsiTheme="minorEastAsia" w:eastAsiaTheme="minorEastAsia"/>
        </w:rPr>
        <w:t>、万方等常用医学数据库的统一账号管理及登录服务，解决科研用户需要多平台切换、文献分散等问题，实现中外医学文献、指南应搜尽搜。</w:t>
      </w:r>
    </w:p>
    <w:p>
      <w:pPr>
        <w:pStyle w:val="21"/>
        <w:numPr>
          <w:ilvl w:val="0"/>
          <w:numId w:val="13"/>
        </w:numPr>
        <w:spacing w:line="360" w:lineRule="auto"/>
        <w:ind w:firstLineChars="0"/>
        <w:rPr>
          <w:rFonts w:asciiTheme="minorEastAsia" w:hAnsiTheme="minorEastAsia" w:eastAsiaTheme="minorEastAsia"/>
        </w:rPr>
      </w:pPr>
      <w:r>
        <w:rPr>
          <w:rFonts w:hint="eastAsia" w:asciiTheme="minorEastAsia" w:hAnsiTheme="minorEastAsia" w:eastAsiaTheme="minorEastAsia"/>
        </w:rPr>
        <w:t>科研辅助服务</w:t>
      </w:r>
    </w:p>
    <w:p>
      <w:pPr>
        <w:pStyle w:val="21"/>
        <w:numPr>
          <w:ilvl w:val="1"/>
          <w:numId w:val="13"/>
        </w:numPr>
        <w:spacing w:line="360" w:lineRule="auto"/>
        <w:ind w:firstLineChars="0"/>
        <w:rPr>
          <w:rFonts w:asciiTheme="minorEastAsia" w:hAnsiTheme="minorEastAsia" w:eastAsiaTheme="minorEastAsia"/>
        </w:rPr>
      </w:pPr>
      <w:r>
        <w:rPr>
          <w:rFonts w:hint="eastAsia" w:asciiTheme="minorEastAsia" w:hAnsiTheme="minorEastAsia" w:eastAsiaTheme="minorEastAsia"/>
        </w:rPr>
        <w:t>科研热点分析：对权威医学文献数据库、课题库信息进行专项抽取分析，提炼出各个领域的科研热点，让科研用户快速、实时了解业内状态。</w:t>
      </w:r>
    </w:p>
    <w:p>
      <w:pPr>
        <w:pStyle w:val="21"/>
        <w:numPr>
          <w:ilvl w:val="1"/>
          <w:numId w:val="13"/>
        </w:numPr>
        <w:spacing w:line="360" w:lineRule="auto"/>
        <w:ind w:firstLineChars="0"/>
        <w:rPr>
          <w:rFonts w:asciiTheme="minorEastAsia" w:hAnsiTheme="minorEastAsia" w:eastAsiaTheme="minorEastAsia"/>
        </w:rPr>
      </w:pPr>
      <w:r>
        <w:rPr>
          <w:rFonts w:hint="eastAsia" w:asciiTheme="minorEastAsia" w:hAnsiTheme="minorEastAsia" w:eastAsiaTheme="minorEastAsia"/>
        </w:rPr>
        <w:t>研究趋势分析：结合历年的文献分布、科研热点以及行业资讯，对研究趋势进行预测，为科研学术方向提供指导。</w:t>
      </w:r>
    </w:p>
    <w:p>
      <w:pPr>
        <w:pStyle w:val="5"/>
        <w:spacing w:line="360" w:lineRule="auto"/>
        <w:rPr>
          <w:rFonts w:asciiTheme="minorEastAsia" w:hAnsiTheme="minorEastAsia" w:eastAsiaTheme="minorEastAsia"/>
        </w:rPr>
      </w:pPr>
      <w:r>
        <w:rPr>
          <w:rFonts w:hint="eastAsia" w:asciiTheme="minorEastAsia" w:hAnsiTheme="minorEastAsia" w:eastAsiaTheme="minorEastAsia"/>
        </w:rPr>
        <w:t>2.3科研大数据分析平台</w:t>
      </w:r>
    </w:p>
    <w:p>
      <w:pPr>
        <w:spacing w:line="360" w:lineRule="auto"/>
        <w:ind w:left="420" w:firstLine="420"/>
        <w:rPr>
          <w:rFonts w:asciiTheme="minorEastAsia" w:hAnsiTheme="minorEastAsia" w:eastAsiaTheme="minorEastAsia"/>
        </w:rPr>
      </w:pPr>
      <w:r>
        <w:rPr>
          <w:rFonts w:hint="eastAsia" w:asciiTheme="minorEastAsia" w:hAnsiTheme="minorEastAsia" w:eastAsiaTheme="minorEastAsia"/>
        </w:rPr>
        <w:t>基于数据湖内丰富、规整的各领域数据资产，搭建数据分析平台满足科研用户在诊断、治疗、预后等不同阶段的科研数据分析需要。</w:t>
      </w:r>
    </w:p>
    <w:p>
      <w:pPr>
        <w:pStyle w:val="21"/>
        <w:numPr>
          <w:ilvl w:val="0"/>
          <w:numId w:val="14"/>
        </w:numPr>
        <w:tabs>
          <w:tab w:val="left" w:pos="420"/>
        </w:tabs>
        <w:spacing w:line="360" w:lineRule="auto"/>
        <w:ind w:firstLineChars="0"/>
        <w:rPr>
          <w:rFonts w:asciiTheme="minorEastAsia" w:hAnsiTheme="minorEastAsia" w:eastAsiaTheme="minorEastAsia"/>
        </w:rPr>
      </w:pPr>
      <w:r>
        <w:rPr>
          <w:rFonts w:hint="eastAsia" w:asciiTheme="minorEastAsia" w:hAnsiTheme="minorEastAsia" w:eastAsiaTheme="minorEastAsia"/>
        </w:rPr>
        <w:t>数据集管理</w:t>
      </w:r>
    </w:p>
    <w:p>
      <w:pPr>
        <w:pStyle w:val="21"/>
        <w:numPr>
          <w:ilvl w:val="1"/>
          <w:numId w:val="14"/>
        </w:numPr>
        <w:tabs>
          <w:tab w:val="left" w:pos="420"/>
        </w:tabs>
        <w:spacing w:line="360" w:lineRule="auto"/>
        <w:ind w:firstLineChars="0"/>
        <w:rPr>
          <w:rFonts w:asciiTheme="minorEastAsia" w:hAnsiTheme="minorEastAsia" w:eastAsiaTheme="minorEastAsia"/>
        </w:rPr>
      </w:pPr>
      <w:r>
        <w:rPr>
          <w:rFonts w:hint="eastAsia" w:asciiTheme="minorEastAsia" w:hAnsiTheme="minorEastAsia" w:eastAsiaTheme="minorEastAsia"/>
        </w:rPr>
        <w:t>湖内数据集：科研账号下已授权的数据湖内数据集，可通过配置相关库表信息，直接获取对应数据进行操作。</w:t>
      </w:r>
    </w:p>
    <w:p>
      <w:pPr>
        <w:pStyle w:val="21"/>
        <w:numPr>
          <w:ilvl w:val="1"/>
          <w:numId w:val="14"/>
        </w:numPr>
        <w:tabs>
          <w:tab w:val="left" w:pos="420"/>
        </w:tabs>
        <w:spacing w:line="360" w:lineRule="auto"/>
        <w:ind w:firstLineChars="0"/>
        <w:rPr>
          <w:rFonts w:asciiTheme="minorEastAsia" w:hAnsiTheme="minorEastAsia" w:eastAsiaTheme="minorEastAsia"/>
        </w:rPr>
      </w:pPr>
      <w:r>
        <w:rPr>
          <w:rFonts w:hint="eastAsia" w:asciiTheme="minorEastAsia" w:hAnsiTheme="minorEastAsia" w:eastAsiaTheme="minorEastAsia"/>
        </w:rPr>
        <w:t>离线数据集：用户也可以上传自有的文件数据，支持</w:t>
      </w:r>
      <w:r>
        <w:rPr>
          <w:rFonts w:asciiTheme="minorEastAsia" w:hAnsiTheme="minorEastAsia" w:eastAsiaTheme="minorEastAsia"/>
        </w:rPr>
        <w:t>Excel</w:t>
      </w:r>
      <w:r>
        <w:rPr>
          <w:rFonts w:hint="eastAsia" w:asciiTheme="minorEastAsia" w:hAnsiTheme="minorEastAsia" w:eastAsiaTheme="minorEastAsia"/>
        </w:rPr>
        <w:t>等多种</w:t>
      </w:r>
      <w:r>
        <w:rPr>
          <w:rFonts w:asciiTheme="minorEastAsia" w:hAnsiTheme="minorEastAsia" w:eastAsiaTheme="minorEastAsia"/>
        </w:rPr>
        <w:t>格式导入，数据上传后，将保存在</w:t>
      </w:r>
      <w:r>
        <w:rPr>
          <w:rFonts w:hint="eastAsia" w:asciiTheme="minorEastAsia" w:hAnsiTheme="minorEastAsia" w:eastAsiaTheme="minorEastAsia"/>
        </w:rPr>
        <w:t>数据湖私有化目录中仅供当前账号使用</w:t>
      </w:r>
      <w:r>
        <w:rPr>
          <w:rFonts w:asciiTheme="minorEastAsia" w:hAnsiTheme="minorEastAsia" w:eastAsiaTheme="minorEastAsia"/>
        </w:rPr>
        <w:t>。</w:t>
      </w:r>
    </w:p>
    <w:p>
      <w:pPr>
        <w:pStyle w:val="21"/>
        <w:numPr>
          <w:ilvl w:val="0"/>
          <w:numId w:val="14"/>
        </w:numPr>
        <w:tabs>
          <w:tab w:val="left" w:pos="420"/>
        </w:tabs>
        <w:spacing w:line="360" w:lineRule="auto"/>
        <w:ind w:firstLineChars="0"/>
        <w:rPr>
          <w:rFonts w:asciiTheme="minorEastAsia" w:hAnsiTheme="minorEastAsia" w:eastAsiaTheme="minorEastAsia"/>
        </w:rPr>
      </w:pPr>
      <w:r>
        <w:rPr>
          <w:rFonts w:hint="eastAsia" w:asciiTheme="minorEastAsia" w:hAnsiTheme="minorEastAsia" w:eastAsiaTheme="minorEastAsia"/>
        </w:rPr>
        <w:t>数据初步探查</w:t>
      </w:r>
    </w:p>
    <w:p>
      <w:pPr>
        <w:pStyle w:val="21"/>
        <w:numPr>
          <w:ilvl w:val="1"/>
          <w:numId w:val="14"/>
        </w:numPr>
        <w:tabs>
          <w:tab w:val="left" w:pos="420"/>
        </w:tabs>
        <w:spacing w:line="360" w:lineRule="auto"/>
        <w:ind w:firstLineChars="0"/>
        <w:rPr>
          <w:rFonts w:asciiTheme="minorEastAsia" w:hAnsiTheme="minorEastAsia" w:eastAsiaTheme="minorEastAsia"/>
        </w:rPr>
      </w:pPr>
      <w:r>
        <w:rPr>
          <w:rFonts w:hint="eastAsia" w:asciiTheme="minorEastAsia" w:hAnsiTheme="minorEastAsia" w:eastAsiaTheme="minorEastAsia"/>
        </w:rPr>
        <w:t>基础统计指标：均值、方差、极值等。</w:t>
      </w:r>
    </w:p>
    <w:p>
      <w:pPr>
        <w:pStyle w:val="21"/>
        <w:numPr>
          <w:ilvl w:val="1"/>
          <w:numId w:val="14"/>
        </w:numPr>
        <w:tabs>
          <w:tab w:val="left" w:pos="420"/>
        </w:tabs>
        <w:spacing w:line="360" w:lineRule="auto"/>
        <w:ind w:firstLineChars="0"/>
        <w:rPr>
          <w:rFonts w:asciiTheme="minorEastAsia" w:hAnsiTheme="minorEastAsia" w:eastAsiaTheme="minorEastAsia"/>
        </w:rPr>
      </w:pPr>
      <w:r>
        <w:rPr>
          <w:rFonts w:hint="eastAsia" w:asciiTheme="minorEastAsia" w:hAnsiTheme="minorEastAsia" w:eastAsiaTheme="minorEastAsia"/>
        </w:rPr>
        <w:t>分布分析：展示变量各种取值的分布情况，判断是否存在异常值与分布合理性。</w:t>
      </w:r>
    </w:p>
    <w:p>
      <w:pPr>
        <w:pStyle w:val="21"/>
        <w:numPr>
          <w:ilvl w:val="1"/>
          <w:numId w:val="14"/>
        </w:numPr>
        <w:tabs>
          <w:tab w:val="left" w:pos="420"/>
        </w:tabs>
        <w:spacing w:line="360" w:lineRule="auto"/>
        <w:ind w:firstLineChars="0"/>
        <w:rPr>
          <w:rFonts w:asciiTheme="minorEastAsia" w:hAnsiTheme="minorEastAsia" w:eastAsiaTheme="minorEastAsia"/>
        </w:rPr>
      </w:pPr>
      <w:r>
        <w:rPr>
          <w:rFonts w:hint="eastAsia" w:asciiTheme="minorEastAsia" w:hAnsiTheme="minorEastAsia" w:eastAsiaTheme="minorEastAsia"/>
        </w:rPr>
        <w:t>关联分析：对不同变量的之间的相关性进行探索，辅助确立研究方向。</w:t>
      </w:r>
    </w:p>
    <w:p>
      <w:pPr>
        <w:pStyle w:val="21"/>
        <w:numPr>
          <w:ilvl w:val="0"/>
          <w:numId w:val="14"/>
        </w:numPr>
        <w:tabs>
          <w:tab w:val="left" w:pos="420"/>
        </w:tabs>
        <w:spacing w:line="360" w:lineRule="auto"/>
        <w:ind w:firstLineChars="0"/>
        <w:rPr>
          <w:rFonts w:asciiTheme="minorEastAsia" w:hAnsiTheme="minorEastAsia" w:eastAsiaTheme="minorEastAsia"/>
        </w:rPr>
      </w:pPr>
      <w:r>
        <w:rPr>
          <w:rFonts w:hint="eastAsia" w:asciiTheme="minorEastAsia" w:hAnsiTheme="minorEastAsia" w:eastAsiaTheme="minorEastAsia"/>
        </w:rPr>
        <w:t>数据预处理</w:t>
      </w:r>
    </w:p>
    <w:p>
      <w:pPr>
        <w:pStyle w:val="21"/>
        <w:numPr>
          <w:ilvl w:val="1"/>
          <w:numId w:val="14"/>
        </w:numPr>
        <w:tabs>
          <w:tab w:val="left" w:pos="420"/>
        </w:tabs>
        <w:spacing w:line="360" w:lineRule="auto"/>
        <w:ind w:firstLineChars="0"/>
        <w:rPr>
          <w:rFonts w:asciiTheme="minorEastAsia" w:hAnsiTheme="minorEastAsia" w:eastAsiaTheme="minorEastAsia"/>
        </w:rPr>
      </w:pPr>
      <w:r>
        <w:rPr>
          <w:rFonts w:hint="eastAsia" w:asciiTheme="minorEastAsia" w:hAnsiTheme="minorEastAsia" w:eastAsiaTheme="minorEastAsia"/>
        </w:rPr>
        <w:t>数据清洗：包括正常的增、删、改、查以及字段合并、数据筛选、数据类型转换、异常值删除等常用的清洗功能。</w:t>
      </w:r>
    </w:p>
    <w:p>
      <w:pPr>
        <w:pStyle w:val="21"/>
        <w:numPr>
          <w:ilvl w:val="1"/>
          <w:numId w:val="14"/>
        </w:numPr>
        <w:tabs>
          <w:tab w:val="left" w:pos="420"/>
        </w:tabs>
        <w:spacing w:line="360" w:lineRule="auto"/>
        <w:ind w:firstLineChars="0"/>
        <w:rPr>
          <w:rFonts w:asciiTheme="minorEastAsia" w:hAnsiTheme="minorEastAsia" w:eastAsiaTheme="minorEastAsia"/>
        </w:rPr>
      </w:pPr>
      <w:r>
        <w:rPr>
          <w:rFonts w:hint="eastAsia" w:asciiTheme="minorEastAsia" w:hAnsiTheme="minorEastAsia" w:eastAsiaTheme="minorEastAsia"/>
        </w:rPr>
        <w:t>特征工程：主要包括缺失值的处理、归一化、特征编码等步骤。</w:t>
      </w:r>
    </w:p>
    <w:p>
      <w:pPr>
        <w:pStyle w:val="21"/>
        <w:numPr>
          <w:ilvl w:val="0"/>
          <w:numId w:val="14"/>
        </w:numPr>
        <w:tabs>
          <w:tab w:val="left" w:pos="420"/>
        </w:tabs>
        <w:spacing w:line="360" w:lineRule="auto"/>
        <w:ind w:firstLineChars="0"/>
        <w:rPr>
          <w:rFonts w:asciiTheme="minorEastAsia" w:hAnsiTheme="minorEastAsia" w:eastAsiaTheme="minorEastAsia"/>
        </w:rPr>
      </w:pPr>
      <w:r>
        <w:rPr>
          <w:rFonts w:hint="eastAsia" w:asciiTheme="minorEastAsia" w:hAnsiTheme="minorEastAsia" w:eastAsiaTheme="minorEastAsia"/>
        </w:rPr>
        <w:t>数据分析</w:t>
      </w:r>
    </w:p>
    <w:p>
      <w:pPr>
        <w:pStyle w:val="21"/>
        <w:numPr>
          <w:ilvl w:val="1"/>
          <w:numId w:val="14"/>
        </w:numPr>
        <w:tabs>
          <w:tab w:val="left" w:pos="420"/>
        </w:tabs>
        <w:spacing w:line="360" w:lineRule="auto"/>
        <w:ind w:firstLineChars="0"/>
        <w:rPr>
          <w:rFonts w:asciiTheme="minorEastAsia" w:hAnsiTheme="minorEastAsia" w:eastAsiaTheme="minorEastAsia"/>
        </w:rPr>
      </w:pPr>
      <w:r>
        <w:rPr>
          <w:rFonts w:hint="eastAsia" w:asciiTheme="minorEastAsia" w:hAnsiTheme="minorEastAsia" w:eastAsiaTheme="minorEastAsia"/>
        </w:rPr>
        <w:t>预制模板分析：内置多种统计分析及机器学习模型模板，通过拖拉拽等可视化交互方式对模型进行配置，快速验证实验推论。</w:t>
      </w:r>
    </w:p>
    <w:p>
      <w:pPr>
        <w:pStyle w:val="21"/>
        <w:numPr>
          <w:ilvl w:val="1"/>
          <w:numId w:val="14"/>
        </w:numPr>
        <w:tabs>
          <w:tab w:val="left" w:pos="420"/>
        </w:tabs>
        <w:spacing w:line="360" w:lineRule="auto"/>
        <w:ind w:firstLineChars="0"/>
        <w:rPr>
          <w:rFonts w:asciiTheme="minorEastAsia" w:hAnsiTheme="minorEastAsia" w:eastAsiaTheme="minorEastAsia"/>
        </w:rPr>
      </w:pPr>
      <w:r>
        <w:rPr>
          <w:rFonts w:hint="eastAsia" w:asciiTheme="minorEastAsia" w:hAnsiTheme="minorEastAsia" w:eastAsiaTheme="minorEastAsia"/>
        </w:rPr>
        <w:t>分析脚本分析：支持python、R等多种语言的分析脚本的部署与运行，方便高级科研用户进行特定场景的分析需要。</w:t>
      </w:r>
    </w:p>
    <w:p>
      <w:pPr>
        <w:pStyle w:val="21"/>
        <w:numPr>
          <w:ilvl w:val="0"/>
          <w:numId w:val="14"/>
        </w:numPr>
        <w:tabs>
          <w:tab w:val="left" w:pos="420"/>
        </w:tabs>
        <w:spacing w:line="360" w:lineRule="auto"/>
        <w:ind w:firstLineChars="0"/>
        <w:rPr>
          <w:rFonts w:asciiTheme="minorEastAsia" w:hAnsiTheme="minorEastAsia" w:eastAsiaTheme="minorEastAsia"/>
        </w:rPr>
      </w:pPr>
      <w:r>
        <w:rPr>
          <w:rFonts w:hint="eastAsia" w:asciiTheme="minorEastAsia" w:hAnsiTheme="minorEastAsia" w:eastAsiaTheme="minorEastAsia"/>
        </w:rPr>
        <w:t>结果展示</w:t>
      </w:r>
    </w:p>
    <w:p>
      <w:pPr>
        <w:pStyle w:val="21"/>
        <w:numPr>
          <w:ilvl w:val="0"/>
          <w:numId w:val="15"/>
        </w:numPr>
        <w:tabs>
          <w:tab w:val="left" w:pos="420"/>
        </w:tabs>
        <w:spacing w:line="360" w:lineRule="auto"/>
        <w:ind w:firstLineChars="0"/>
        <w:rPr>
          <w:rFonts w:asciiTheme="minorEastAsia" w:hAnsiTheme="minorEastAsia" w:eastAsiaTheme="minorEastAsia"/>
        </w:rPr>
      </w:pPr>
      <w:r>
        <w:rPr>
          <w:rFonts w:hint="eastAsia" w:asciiTheme="minorEastAsia" w:hAnsiTheme="minorEastAsia" w:eastAsiaTheme="minorEastAsia"/>
        </w:rPr>
        <w:t>数据可视化：提供直方图、散点图、箱型图等多种图表供数据结果展示使用，系统会根据分析模型自动选择适合的图表类型，用户也可根据需要选择其他个性化的图表。</w:t>
      </w:r>
    </w:p>
    <w:p>
      <w:pPr>
        <w:pStyle w:val="21"/>
        <w:numPr>
          <w:ilvl w:val="0"/>
          <w:numId w:val="15"/>
        </w:numPr>
        <w:tabs>
          <w:tab w:val="left" w:pos="420"/>
        </w:tabs>
        <w:spacing w:line="360" w:lineRule="auto"/>
        <w:ind w:firstLineChars="0"/>
        <w:rPr>
          <w:rFonts w:asciiTheme="minorEastAsia" w:hAnsiTheme="minorEastAsia" w:eastAsiaTheme="minorEastAsia"/>
        </w:rPr>
      </w:pPr>
      <w:r>
        <w:rPr>
          <w:rFonts w:hint="eastAsia" w:asciiTheme="minorEastAsia" w:hAnsiTheme="minorEastAsia" w:eastAsiaTheme="minorEastAsia"/>
        </w:rPr>
        <w:t>分析报告：系统根据分析结果自动生成相应的分析报告。该报告符合常规统计分析软件（</w:t>
      </w:r>
      <w:r>
        <w:rPr>
          <w:rFonts w:asciiTheme="minorEastAsia" w:hAnsiTheme="minorEastAsia" w:eastAsiaTheme="minorEastAsia"/>
        </w:rPr>
        <w:t>spss、sas）的分析结果，可直接应用于论文写作及科研项目中。</w:t>
      </w:r>
    </w:p>
    <w:p>
      <w:pPr>
        <w:pStyle w:val="5"/>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2.4科研信息门户网站</w:t>
      </w:r>
    </w:p>
    <w:p>
      <w:pPr>
        <w:spacing w:line="360" w:lineRule="auto"/>
        <w:ind w:left="420" w:firstLine="420"/>
        <w:rPr>
          <w:rFonts w:asciiTheme="minorEastAsia" w:hAnsiTheme="minorEastAsia" w:eastAsiaTheme="minorEastAsia"/>
          <w:highlight w:val="none"/>
        </w:rPr>
      </w:pPr>
      <w:r>
        <w:rPr>
          <w:rFonts w:hint="eastAsia" w:asciiTheme="minorEastAsia" w:hAnsiTheme="minorEastAsia" w:eastAsiaTheme="minorEastAsia"/>
          <w:highlight w:val="none"/>
        </w:rPr>
        <w:t>建立一个全方位的科研分析管理平台，使每个科研用户快速查看、管理自己的科研分析项目，也为院方科研管理层提供一个全局的管理工具。</w:t>
      </w:r>
    </w:p>
    <w:p>
      <w:pPr>
        <w:pStyle w:val="21"/>
        <w:numPr>
          <w:ilvl w:val="0"/>
          <w:numId w:val="16"/>
        </w:numPr>
        <w:spacing w:line="360" w:lineRule="auto"/>
        <w:ind w:firstLineChars="0"/>
        <w:rPr>
          <w:rFonts w:asciiTheme="minorEastAsia" w:hAnsiTheme="minorEastAsia" w:eastAsiaTheme="minorEastAsia"/>
          <w:highlight w:val="none"/>
        </w:rPr>
      </w:pPr>
      <w:r>
        <w:rPr>
          <w:rFonts w:hint="eastAsia" w:asciiTheme="minorEastAsia" w:hAnsiTheme="minorEastAsia" w:eastAsiaTheme="minorEastAsia"/>
          <w:highlight w:val="none"/>
        </w:rPr>
        <w:t>科研动态：提供科研平台的新闻、介绍、操作手册、注意事项、科研热点等信息的发布。</w:t>
      </w:r>
    </w:p>
    <w:p>
      <w:pPr>
        <w:pStyle w:val="21"/>
        <w:numPr>
          <w:ilvl w:val="0"/>
          <w:numId w:val="16"/>
        </w:numPr>
        <w:spacing w:line="360" w:lineRule="auto"/>
        <w:ind w:firstLineChars="0"/>
        <w:rPr>
          <w:rFonts w:asciiTheme="minorEastAsia" w:hAnsiTheme="minorEastAsia" w:eastAsiaTheme="minorEastAsia"/>
          <w:highlight w:val="none"/>
        </w:rPr>
      </w:pPr>
      <w:r>
        <w:rPr>
          <w:rFonts w:hint="eastAsia" w:asciiTheme="minorEastAsia" w:hAnsiTheme="minorEastAsia" w:eastAsiaTheme="minorEastAsia"/>
          <w:highlight w:val="none"/>
        </w:rPr>
        <w:t>科研项目空间：可以按时间、科室、角色、项目活跃度等不同维度，对科研项目的病历、队列等主体进行监控，进而优化科研资源投入。</w:t>
      </w:r>
    </w:p>
    <w:p>
      <w:pPr>
        <w:pStyle w:val="21"/>
        <w:numPr>
          <w:ilvl w:val="0"/>
          <w:numId w:val="16"/>
        </w:numPr>
        <w:spacing w:line="360" w:lineRule="auto"/>
        <w:ind w:firstLineChars="0"/>
        <w:rPr>
          <w:rFonts w:asciiTheme="minorEastAsia" w:hAnsiTheme="minorEastAsia" w:eastAsiaTheme="minorEastAsia"/>
        </w:rPr>
      </w:pPr>
      <w:r>
        <w:rPr>
          <w:rFonts w:hint="eastAsia" w:asciiTheme="minorEastAsia" w:hAnsiTheme="minorEastAsia" w:eastAsiaTheme="minorEastAsia"/>
          <w:highlight w:val="none"/>
        </w:rPr>
        <w:t>科研结果溯源：提供科研项目从数据到分析到结果的全流程可信认证，并生成全网唯一的认证密钥</w:t>
      </w:r>
      <w:r>
        <w:rPr>
          <w:rFonts w:hint="eastAsia" w:asciiTheme="minorEastAsia" w:hAnsiTheme="minorEastAsia" w:eastAsiaTheme="minorEastAsia"/>
        </w:rPr>
        <w:t>，用于后期的科研溯源，防止学术造假。</w:t>
      </w:r>
    </w:p>
    <w:p>
      <w:pPr>
        <w:pStyle w:val="21"/>
        <w:numPr>
          <w:ilvl w:val="0"/>
          <w:numId w:val="16"/>
        </w:numPr>
        <w:spacing w:line="360" w:lineRule="auto"/>
        <w:ind w:firstLineChars="0"/>
        <w:rPr>
          <w:rFonts w:asciiTheme="minorEastAsia" w:hAnsiTheme="minorEastAsia" w:eastAsiaTheme="minorEastAsia"/>
        </w:rPr>
      </w:pPr>
      <w:r>
        <w:rPr>
          <w:rFonts w:hint="eastAsia" w:asciiTheme="minorEastAsia" w:hAnsiTheme="minorEastAsia" w:eastAsiaTheme="minorEastAsia"/>
        </w:rPr>
        <w:t>科研材料签名管理模块：可以对认证材料实现参与人、贡献人等的可信签名，为溯源和认证提供清晰的路径跟踪管理和溯源功能。</w:t>
      </w:r>
    </w:p>
    <w:p>
      <w:pPr>
        <w:pStyle w:val="21"/>
        <w:numPr>
          <w:ilvl w:val="0"/>
          <w:numId w:val="16"/>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数据调用行为监控及存证模块：采用可信行为认证签名、记录数据调用路径，治理存证、实现数据流和行为溯源。</w:t>
      </w:r>
    </w:p>
    <w:p>
      <w:pPr>
        <w:pStyle w:val="4"/>
        <w:spacing w:line="360" w:lineRule="auto"/>
        <w:rPr>
          <w:rFonts w:asciiTheme="minorEastAsia" w:hAnsiTheme="minorEastAsia" w:eastAsiaTheme="minorEastAsia"/>
        </w:rPr>
      </w:pPr>
      <w:r>
        <w:rPr>
          <w:rFonts w:hint="eastAsia" w:asciiTheme="minorEastAsia" w:hAnsiTheme="minorEastAsia" w:eastAsiaTheme="minorEastAsia"/>
        </w:rPr>
        <w:t>（3）项目管理</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院方、服务商指派代表组成立软件项目管理小组，管理本软件的开发和实施。提供管理小组成员名单和通讯方式。</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院方、服务商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pStyle w:val="4"/>
        <w:spacing w:line="360" w:lineRule="auto"/>
        <w:rPr>
          <w:rFonts w:asciiTheme="minorEastAsia" w:hAnsiTheme="minorEastAsia" w:eastAsiaTheme="minorEastAsia"/>
        </w:rPr>
      </w:pPr>
      <w:r>
        <w:rPr>
          <w:rFonts w:hint="eastAsia" w:asciiTheme="minorEastAsia" w:hAnsiTheme="minorEastAsia" w:eastAsiaTheme="minorEastAsia"/>
        </w:rPr>
        <w:t>（4）需求分析</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服务商需提供成立专门的项目组开展工作，同时指派专业需求人员与医院相关业务科室数据专家和科研专家人员沟通数据管理方案、数据治理标准、资源目录梳理、数据管理流程、数据开发内容、数据质量等内容，以及科研数据治理、科研数据应用等具体内容等，完成相关软件的开发需求分析和方案设计工作。</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为保证“软件”更好地满足</w:t>
      </w:r>
      <w:r>
        <w:rPr>
          <w:rFonts w:hint="eastAsia" w:asciiTheme="minorEastAsia" w:hAnsiTheme="minorEastAsia" w:eastAsiaTheme="minorEastAsia"/>
          <w:lang w:eastAsia="zh-CN"/>
        </w:rPr>
        <w:t>院方</w:t>
      </w:r>
      <w:r>
        <w:rPr>
          <w:rFonts w:hint="eastAsia" w:asciiTheme="minorEastAsia" w:hAnsiTheme="minorEastAsia" w:eastAsiaTheme="minorEastAsia"/>
        </w:rPr>
        <w:t>的工作需要，</w:t>
      </w:r>
      <w:r>
        <w:rPr>
          <w:rFonts w:hint="eastAsia" w:asciiTheme="minorEastAsia" w:hAnsiTheme="minorEastAsia" w:eastAsiaTheme="minorEastAsia"/>
          <w:lang w:val="en-US" w:eastAsia="zh-CN"/>
        </w:rPr>
        <w:t>服务方</w:t>
      </w:r>
      <w:r>
        <w:rPr>
          <w:rFonts w:hint="eastAsia" w:asciiTheme="minorEastAsia" w:hAnsiTheme="minorEastAsia" w:eastAsiaTheme="minorEastAsia"/>
        </w:rPr>
        <w:t>将在实施过程中，阶段性地向</w:t>
      </w:r>
      <w:r>
        <w:rPr>
          <w:rFonts w:hint="eastAsia" w:asciiTheme="minorEastAsia" w:hAnsiTheme="minorEastAsia" w:eastAsiaTheme="minorEastAsia"/>
          <w:lang w:eastAsia="zh-CN"/>
        </w:rPr>
        <w:t>院方</w:t>
      </w:r>
      <w:r>
        <w:rPr>
          <w:rFonts w:hint="eastAsia" w:asciiTheme="minorEastAsia" w:hAnsiTheme="minorEastAsia" w:eastAsiaTheme="minorEastAsia"/>
        </w:rPr>
        <w:t>征集产品需求，发放需求调查表。</w:t>
      </w:r>
      <w:r>
        <w:rPr>
          <w:rFonts w:hint="eastAsia" w:asciiTheme="minorEastAsia" w:hAnsiTheme="minorEastAsia" w:eastAsiaTheme="minorEastAsia"/>
          <w:lang w:eastAsia="zh-CN"/>
        </w:rPr>
        <w:t>院方</w:t>
      </w:r>
      <w:r>
        <w:rPr>
          <w:rFonts w:hint="eastAsia" w:asciiTheme="minorEastAsia" w:hAnsiTheme="minorEastAsia" w:eastAsiaTheme="minorEastAsia"/>
        </w:rPr>
        <w:t>项目管理人员在收到产品需求调查表，在10个工作日内，向</w:t>
      </w:r>
      <w:r>
        <w:rPr>
          <w:rFonts w:hint="eastAsia" w:asciiTheme="minorEastAsia" w:hAnsiTheme="minorEastAsia" w:eastAsiaTheme="minorEastAsia"/>
          <w:lang w:eastAsia="zh-CN"/>
        </w:rPr>
        <w:t>服务方</w:t>
      </w:r>
      <w:r>
        <w:rPr>
          <w:rFonts w:hint="eastAsia" w:asciiTheme="minorEastAsia" w:hAnsiTheme="minorEastAsia" w:eastAsiaTheme="minorEastAsia"/>
        </w:rPr>
        <w:t>提交填写完成的产品需求调查表。</w:t>
      </w:r>
      <w:r>
        <w:rPr>
          <w:rFonts w:hint="eastAsia" w:asciiTheme="minorEastAsia" w:hAnsiTheme="minorEastAsia" w:eastAsiaTheme="minorEastAsia"/>
          <w:lang w:eastAsia="zh-CN"/>
        </w:rPr>
        <w:t>服务方</w:t>
      </w:r>
      <w:r>
        <w:rPr>
          <w:rFonts w:hint="eastAsia" w:asciiTheme="minorEastAsia" w:hAnsiTheme="minorEastAsia" w:eastAsiaTheme="minorEastAsia"/>
        </w:rPr>
        <w:t>在收到</w:t>
      </w:r>
      <w:r>
        <w:rPr>
          <w:rFonts w:hint="eastAsia" w:asciiTheme="minorEastAsia" w:hAnsiTheme="minorEastAsia" w:eastAsiaTheme="minorEastAsia"/>
          <w:lang w:eastAsia="zh-CN"/>
        </w:rPr>
        <w:t>院方</w:t>
      </w:r>
      <w:r>
        <w:rPr>
          <w:rFonts w:hint="eastAsia" w:asciiTheme="minorEastAsia" w:hAnsiTheme="minorEastAsia" w:eastAsiaTheme="minorEastAsia"/>
        </w:rPr>
        <w:t>反馈产品需求调查表后，应在10个工作日内完成需求分析书。该需求分析书经</w:t>
      </w:r>
      <w:r>
        <w:rPr>
          <w:rFonts w:hint="eastAsia" w:asciiTheme="minorEastAsia" w:hAnsiTheme="minorEastAsia" w:eastAsiaTheme="minorEastAsia"/>
          <w:lang w:eastAsia="zh-CN"/>
        </w:rPr>
        <w:t>院方</w:t>
      </w:r>
      <w:r>
        <w:rPr>
          <w:rFonts w:hint="eastAsia" w:asciiTheme="minorEastAsia" w:hAnsiTheme="minorEastAsia" w:eastAsiaTheme="minorEastAsia"/>
        </w:rPr>
        <w:t>认可，并由</w:t>
      </w:r>
      <w:r>
        <w:rPr>
          <w:rFonts w:hint="eastAsia" w:asciiTheme="minorEastAsia" w:hAnsiTheme="minorEastAsia" w:eastAsiaTheme="minorEastAsia"/>
          <w:lang w:val="en-US" w:eastAsia="zh-CN"/>
        </w:rPr>
        <w:t>院方</w:t>
      </w:r>
      <w:r>
        <w:rPr>
          <w:rFonts w:hint="eastAsia" w:asciiTheme="minorEastAsia" w:hAnsiTheme="minorEastAsia" w:eastAsiaTheme="minorEastAsia"/>
        </w:rPr>
        <w:t>、</w:t>
      </w:r>
      <w:r>
        <w:rPr>
          <w:rFonts w:hint="eastAsia" w:asciiTheme="minorEastAsia" w:hAnsiTheme="minorEastAsia" w:eastAsiaTheme="minorEastAsia"/>
          <w:lang w:val="en-US" w:eastAsia="zh-CN"/>
        </w:rPr>
        <w:t>服务方</w:t>
      </w:r>
      <w:r>
        <w:rPr>
          <w:rFonts w:hint="eastAsia" w:asciiTheme="minorEastAsia" w:hAnsiTheme="minorEastAsia" w:eastAsiaTheme="minorEastAsia"/>
        </w:rPr>
        <w:t>双方签字后作为项目实施过程中的文件，由甲、乙双方项目经理各自保存。对于</w:t>
      </w:r>
      <w:r>
        <w:rPr>
          <w:rFonts w:hint="eastAsia" w:asciiTheme="minorEastAsia" w:hAnsiTheme="minorEastAsia" w:eastAsiaTheme="minorEastAsia"/>
          <w:lang w:eastAsia="zh-CN"/>
        </w:rPr>
        <w:t>院方</w:t>
      </w:r>
      <w:r>
        <w:rPr>
          <w:rFonts w:hint="eastAsia" w:asciiTheme="minorEastAsia" w:hAnsiTheme="minorEastAsia" w:eastAsiaTheme="minorEastAsia"/>
        </w:rPr>
        <w:t>主动提出的需求，</w:t>
      </w:r>
      <w:r>
        <w:rPr>
          <w:rFonts w:hint="eastAsia" w:asciiTheme="minorEastAsia" w:hAnsiTheme="minorEastAsia" w:eastAsiaTheme="minorEastAsia"/>
          <w:lang w:eastAsia="zh-CN"/>
        </w:rPr>
        <w:t>服务方</w:t>
      </w:r>
      <w:r>
        <w:rPr>
          <w:rFonts w:hint="eastAsia" w:asciiTheme="minorEastAsia" w:hAnsiTheme="minorEastAsia" w:eastAsiaTheme="minorEastAsia"/>
        </w:rPr>
        <w:t>应予以积极配合，并在收到需求信息后10个工作日内完成需求分析书。该需求分析书经双方签字后作为项目实施文件，由甲、乙双方项目经理各自保存。对于双方确定的需求，</w:t>
      </w:r>
      <w:r>
        <w:rPr>
          <w:rFonts w:hint="eastAsia" w:asciiTheme="minorEastAsia" w:hAnsiTheme="minorEastAsia" w:eastAsiaTheme="minorEastAsia"/>
          <w:lang w:eastAsia="zh-CN"/>
        </w:rPr>
        <w:t>服务方</w:t>
      </w:r>
      <w:r>
        <w:rPr>
          <w:rFonts w:hint="eastAsia" w:asciiTheme="minorEastAsia" w:hAnsiTheme="minorEastAsia" w:eastAsiaTheme="minorEastAsia"/>
        </w:rPr>
        <w:t>应积极履行开发及实施责任。</w:t>
      </w:r>
    </w:p>
    <w:p>
      <w:pPr>
        <w:pStyle w:val="3"/>
        <w:numPr>
          <w:ilvl w:val="0"/>
          <w:numId w:val="2"/>
        </w:numPr>
        <w:spacing w:before="0" w:after="0" w:line="360" w:lineRule="auto"/>
        <w:rPr>
          <w:rFonts w:asciiTheme="minorEastAsia" w:hAnsiTheme="minorEastAsia" w:eastAsiaTheme="minorEastAsia"/>
          <w:sz w:val="32"/>
          <w:szCs w:val="32"/>
        </w:rPr>
      </w:pPr>
      <w:r>
        <w:rPr>
          <w:rFonts w:hint="eastAsia" w:asciiTheme="minorEastAsia" w:hAnsiTheme="minorEastAsia" w:eastAsiaTheme="minorEastAsia"/>
          <w:sz w:val="32"/>
          <w:szCs w:val="32"/>
        </w:rPr>
        <w:t>服务方式</w:t>
      </w:r>
    </w:p>
    <w:p>
      <w:pPr>
        <w:pStyle w:val="2"/>
        <w:spacing w:line="360" w:lineRule="auto"/>
        <w:ind w:leftChars="0"/>
        <w:rPr>
          <w:rFonts w:asciiTheme="minorEastAsia" w:hAnsiTheme="minorEastAsia" w:eastAsiaTheme="minorEastAsia"/>
        </w:rPr>
      </w:pPr>
      <w:r>
        <w:rPr>
          <w:rFonts w:hint="eastAsia" w:asciiTheme="minorEastAsia" w:hAnsiTheme="minorEastAsia" w:eastAsiaTheme="minorEastAsia"/>
        </w:rPr>
        <w:t>（一）实施服务</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提供</w:t>
      </w:r>
      <w:r>
        <w:rPr>
          <w:rFonts w:hint="eastAsia" w:cs="Times New Roman" w:asciiTheme="minorEastAsia" w:hAnsiTheme="minorEastAsia" w:eastAsiaTheme="minorEastAsia"/>
        </w:rPr>
        <w:t>数据湖管理平台</w:t>
      </w:r>
      <w:r>
        <w:rPr>
          <w:rFonts w:hint="eastAsia" w:asciiTheme="minorEastAsia" w:hAnsiTheme="minorEastAsia" w:eastAsiaTheme="minorEastAsia"/>
        </w:rPr>
        <w:t>、</w:t>
      </w:r>
      <w:r>
        <w:rPr>
          <w:rFonts w:hint="eastAsia" w:cs="Times New Roman" w:asciiTheme="minorEastAsia" w:hAnsiTheme="minorEastAsia" w:eastAsiaTheme="minorEastAsia"/>
        </w:rPr>
        <w:t>数据治理平台</w:t>
      </w:r>
      <w:r>
        <w:rPr>
          <w:rFonts w:hint="eastAsia" w:asciiTheme="minorEastAsia" w:hAnsiTheme="minorEastAsia" w:eastAsiaTheme="minorEastAsia"/>
        </w:rPr>
        <w:t>、以及数据应用等建设</w:t>
      </w:r>
      <w:r>
        <w:rPr>
          <w:rFonts w:asciiTheme="minorEastAsia" w:hAnsiTheme="minorEastAsia" w:eastAsiaTheme="minorEastAsia"/>
        </w:rPr>
        <w:t>系统</w:t>
      </w:r>
      <w:r>
        <w:rPr>
          <w:rFonts w:hint="eastAsia" w:asciiTheme="minorEastAsia" w:hAnsiTheme="minorEastAsia" w:eastAsiaTheme="minorEastAsia"/>
        </w:rPr>
        <w:t>的基础环境</w:t>
      </w:r>
      <w:r>
        <w:rPr>
          <w:rFonts w:asciiTheme="minorEastAsia" w:hAnsiTheme="minorEastAsia" w:eastAsiaTheme="minorEastAsia"/>
        </w:rPr>
        <w:t>部署</w:t>
      </w:r>
      <w:r>
        <w:rPr>
          <w:rFonts w:hint="eastAsia" w:asciiTheme="minorEastAsia" w:hAnsiTheme="minorEastAsia" w:eastAsiaTheme="minorEastAsia"/>
        </w:rPr>
        <w:t>工作，</w:t>
      </w:r>
      <w:r>
        <w:rPr>
          <w:rFonts w:asciiTheme="minorEastAsia" w:hAnsiTheme="minorEastAsia" w:eastAsiaTheme="minorEastAsia"/>
        </w:rPr>
        <w:t>包括：服务器环境及数据库安装</w:t>
      </w:r>
      <w:r>
        <w:rPr>
          <w:rFonts w:hint="eastAsia" w:asciiTheme="minorEastAsia" w:hAnsiTheme="minorEastAsia" w:eastAsiaTheme="minorEastAsia"/>
        </w:rPr>
        <w:t>、</w:t>
      </w:r>
      <w:r>
        <w:rPr>
          <w:rFonts w:asciiTheme="minorEastAsia" w:hAnsiTheme="minorEastAsia" w:eastAsiaTheme="minorEastAsia"/>
        </w:rPr>
        <w:t>版本部署</w:t>
      </w:r>
      <w:r>
        <w:rPr>
          <w:rFonts w:hint="eastAsia" w:asciiTheme="minorEastAsia" w:hAnsiTheme="minorEastAsia" w:eastAsiaTheme="minorEastAsia"/>
        </w:rPr>
        <w:t>、</w:t>
      </w:r>
      <w:r>
        <w:rPr>
          <w:rFonts w:asciiTheme="minorEastAsia" w:hAnsiTheme="minorEastAsia" w:eastAsiaTheme="minorEastAsia"/>
        </w:rPr>
        <w:t>数据接口部署对接等。</w:t>
      </w:r>
    </w:p>
    <w:p>
      <w:pPr>
        <w:spacing w:line="360" w:lineRule="auto"/>
        <w:ind w:firstLine="420"/>
        <w:rPr>
          <w:rFonts w:asciiTheme="minorEastAsia" w:hAnsiTheme="minorEastAsia" w:eastAsiaTheme="minorEastAsia"/>
        </w:rPr>
      </w:pPr>
      <w:r>
        <w:rPr>
          <w:rFonts w:hint="eastAsia" w:cs="Times New Roman" w:asciiTheme="minorEastAsia" w:hAnsiTheme="minorEastAsia" w:eastAsiaTheme="minorEastAsia"/>
        </w:rPr>
        <w:t>数据湖管理平台</w:t>
      </w:r>
      <w:r>
        <w:rPr>
          <w:rFonts w:hint="eastAsia" w:asciiTheme="minorEastAsia" w:hAnsiTheme="minorEastAsia" w:eastAsiaTheme="minorEastAsia"/>
        </w:rPr>
        <w:t>、</w:t>
      </w:r>
      <w:r>
        <w:rPr>
          <w:rFonts w:hint="eastAsia" w:cs="Times New Roman" w:asciiTheme="minorEastAsia" w:hAnsiTheme="minorEastAsia" w:eastAsiaTheme="minorEastAsia"/>
        </w:rPr>
        <w:t>数据治理平台</w:t>
      </w:r>
      <w:r>
        <w:rPr>
          <w:rFonts w:hint="eastAsia" w:asciiTheme="minorEastAsia" w:hAnsiTheme="minorEastAsia" w:eastAsiaTheme="minorEastAsia"/>
        </w:rPr>
        <w:t>涉及到数据统一汇聚、资源目录梳理、分类体系建立、标准化治理、资产登记、资产运营等过程，服务商需提供以下服务：</w:t>
      </w:r>
    </w:p>
    <w:p>
      <w:pPr>
        <w:pStyle w:val="21"/>
        <w:numPr>
          <w:ilvl w:val="0"/>
          <w:numId w:val="17"/>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数据统一汇聚：通过医疗机构内部业务系统之间的协作，完成医疗机构数据的统一采集、统一标注、统一标化、统一处理和统一存储。</w:t>
      </w:r>
    </w:p>
    <w:p>
      <w:pPr>
        <w:pStyle w:val="21"/>
        <w:numPr>
          <w:ilvl w:val="0"/>
          <w:numId w:val="17"/>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资源目录梳理：通过对其他行业的信息资源目录体系的理论研究，完成医疗机构数据资产目录的有效整理和高效集成，并从元数据、技术体系、分类体系、共享交换、跨层级体系及服务体系等方面构建数据资产目录。</w:t>
      </w:r>
    </w:p>
    <w:p>
      <w:pPr>
        <w:pStyle w:val="21"/>
        <w:numPr>
          <w:ilvl w:val="0"/>
          <w:numId w:val="17"/>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分类体系建立：通过梳理机构内数据形成医疗机构内部数据分类体系，用于区分医疗机构内部管理和对外合作过程中的数据服务的数据边界。该分类体系将医学数据分类存储，分级设置权限，在不丢失数据信息基础的同时，保证数据安全。</w:t>
      </w:r>
    </w:p>
    <w:p>
      <w:pPr>
        <w:pStyle w:val="21"/>
        <w:numPr>
          <w:ilvl w:val="0"/>
          <w:numId w:val="17"/>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标准化治理：在医疗机构数据治理的过程中，针对医学术语多样化问题，需要遵从国家标准及行业规范建立标准数据元；针对数据库结构异构问题，需要建立一套标准数据集。将来自不同服务商、不同分支机构的数据、数据元和数据表一一映射，生成映射规则。根据映射规则，对数据进行转化和清洗，最终形成归一化、结构化的医疗数据。</w:t>
      </w:r>
    </w:p>
    <w:p>
      <w:pPr>
        <w:pStyle w:val="21"/>
        <w:numPr>
          <w:ilvl w:val="0"/>
          <w:numId w:val="17"/>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数据资产登记：通过数据治理之后形成的医疗数据资产目录对医疗机构数据进行统筹管理，转变当前我国医疗机构信息资源管理观念，明确权属关系及价值属性，并构成跨系统甚至跨机构协同的依据。</w:t>
      </w:r>
    </w:p>
    <w:p>
      <w:pPr>
        <w:pStyle w:val="21"/>
        <w:numPr>
          <w:ilvl w:val="0"/>
          <w:numId w:val="17"/>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资产运营：在开展医疗机构数据资产运营和应用的过程中需要对外提供数据服务，依据国家信息技术安全管理要求，对数据应用前必须进行脱敏处理。数据脱敏需要依从医疗数据分类分级标准，该标准遵循各级界限明确、就高不就低原则。脱敏后的数据，可便捷的针对不同的应用场景提供不同级别的数据服务。</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针对科研大数据平台应用，服务商还需提供以下服务：</w:t>
      </w:r>
    </w:p>
    <w:p>
      <w:pPr>
        <w:pStyle w:val="21"/>
        <w:numPr>
          <w:ilvl w:val="0"/>
          <w:numId w:val="18"/>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数据查询：基于科研数据应用系统的标准变量及值域，允许数据使用方自行定义数据筛选条件以及条件之间的逻辑关系，从全量库获取目标数据。</w:t>
      </w:r>
    </w:p>
    <w:p>
      <w:pPr>
        <w:pStyle w:val="21"/>
        <w:numPr>
          <w:ilvl w:val="0"/>
          <w:numId w:val="18"/>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数据展示：针对查询所得的目标数据，数据使用方利用科研数据应用系统提供的多种数据可视化方法，展示目标数据和目标数据的分析过程；</w:t>
      </w:r>
    </w:p>
    <w:p>
      <w:pPr>
        <w:pStyle w:val="21"/>
        <w:numPr>
          <w:ilvl w:val="0"/>
          <w:numId w:val="18"/>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数据分析：针对特定主体库，按照统计学方法对所选取的研究对象及其相关暴露和结局进行统计分析，并形成结论和报告，统计方法至少包括比较均值分析、非参检验、回归分析、相关性分析等。</w:t>
      </w:r>
    </w:p>
    <w:p>
      <w:pPr>
        <w:pStyle w:val="21"/>
        <w:numPr>
          <w:ilvl w:val="0"/>
          <w:numId w:val="18"/>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数据导出：根据约定的文件格式要求，如</w:t>
      </w:r>
      <w:r>
        <w:rPr>
          <w:rFonts w:asciiTheme="minorEastAsia" w:hAnsiTheme="minorEastAsia" w:eastAsiaTheme="minorEastAsia"/>
        </w:rPr>
        <w:t>CSV</w:t>
      </w:r>
      <w:r>
        <w:rPr>
          <w:rFonts w:hint="eastAsia" w:asciiTheme="minorEastAsia" w:hAnsiTheme="minorEastAsia" w:eastAsiaTheme="minorEastAsia"/>
        </w:rPr>
        <w:t>、</w:t>
      </w:r>
      <w:r>
        <w:rPr>
          <w:rFonts w:asciiTheme="minorEastAsia" w:hAnsiTheme="minorEastAsia" w:eastAsiaTheme="minorEastAsia"/>
        </w:rPr>
        <w:t>Excel</w:t>
      </w:r>
      <w:r>
        <w:rPr>
          <w:rFonts w:hint="eastAsia" w:asciiTheme="minorEastAsia" w:hAnsiTheme="minorEastAsia" w:eastAsiaTheme="minorEastAsia"/>
        </w:rPr>
        <w:t>等，自动生成特定数据文件，这些文件能够被第三方统计分析软件所引用。</w:t>
      </w:r>
    </w:p>
    <w:p>
      <w:pPr>
        <w:pStyle w:val="21"/>
        <w:numPr>
          <w:ilvl w:val="0"/>
          <w:numId w:val="18"/>
        </w:numPr>
        <w:spacing w:line="360" w:lineRule="auto"/>
        <w:ind w:firstLineChars="0"/>
        <w:rPr>
          <w:rFonts w:asciiTheme="minorEastAsia" w:hAnsiTheme="minorEastAsia" w:eastAsiaTheme="minorEastAsia"/>
        </w:rPr>
      </w:pPr>
      <w:r>
        <w:rPr>
          <w:rFonts w:hint="eastAsia" w:asciiTheme="minorEastAsia" w:hAnsiTheme="minorEastAsia" w:eastAsiaTheme="minorEastAsia"/>
        </w:rPr>
        <w:t>数据交换：支持按照特定的数据接口标准进行数据交换，包括外部数据的引入和对外数据的提供。</w:t>
      </w:r>
    </w:p>
    <w:p>
      <w:pPr>
        <w:pStyle w:val="2"/>
        <w:spacing w:line="360" w:lineRule="auto"/>
        <w:ind w:leftChars="0" w:firstLine="420"/>
        <w:rPr>
          <w:rFonts w:asciiTheme="minorEastAsia" w:hAnsiTheme="minorEastAsia" w:eastAsiaTheme="minorEastAsia"/>
        </w:rPr>
      </w:pPr>
      <w:r>
        <w:rPr>
          <w:rFonts w:hint="eastAsia" w:asciiTheme="minorEastAsia" w:hAnsiTheme="minorEastAsia" w:eastAsiaTheme="minorEastAsia"/>
        </w:rPr>
        <w:t>（二）运维服务</w:t>
      </w:r>
    </w:p>
    <w:p>
      <w:pPr>
        <w:pStyle w:val="21"/>
        <w:numPr>
          <w:ilvl w:val="0"/>
          <w:numId w:val="19"/>
        </w:numPr>
        <w:spacing w:line="360" w:lineRule="auto"/>
        <w:ind w:firstLineChars="0"/>
        <w:rPr>
          <w:rFonts w:asciiTheme="minorEastAsia" w:hAnsiTheme="minorEastAsia" w:eastAsiaTheme="minorEastAsia"/>
        </w:rPr>
      </w:pPr>
      <w:r>
        <w:rPr>
          <w:rFonts w:hint="eastAsia" w:asciiTheme="minorEastAsia" w:hAnsiTheme="minorEastAsia" w:eastAsiaTheme="minorEastAsia"/>
        </w:rPr>
        <w:t>服务商成立专门的项目组开展工作，同时应指派专人分别负责日常现场运维，功能调整修改和接口开发，按时完成工作内容。</w:t>
      </w:r>
    </w:p>
    <w:p>
      <w:pPr>
        <w:pStyle w:val="21"/>
        <w:numPr>
          <w:ilvl w:val="0"/>
          <w:numId w:val="19"/>
        </w:numPr>
        <w:spacing w:line="360" w:lineRule="auto"/>
        <w:ind w:firstLineChars="0"/>
        <w:rPr>
          <w:rFonts w:asciiTheme="minorEastAsia" w:hAnsiTheme="minorEastAsia" w:eastAsiaTheme="minorEastAsia"/>
        </w:rPr>
      </w:pPr>
      <w:r>
        <w:rPr>
          <w:rFonts w:hint="eastAsia" w:asciiTheme="minorEastAsia" w:hAnsiTheme="minorEastAsia" w:eastAsiaTheme="minorEastAsia"/>
        </w:rPr>
        <w:t>以现场服务为主，其它电话、邮件指导、远程维护、技术交流方式不限。</w:t>
      </w:r>
    </w:p>
    <w:p>
      <w:pPr>
        <w:pStyle w:val="21"/>
        <w:numPr>
          <w:ilvl w:val="0"/>
          <w:numId w:val="19"/>
        </w:numPr>
        <w:spacing w:line="360" w:lineRule="auto"/>
        <w:ind w:firstLineChars="0"/>
        <w:rPr>
          <w:rFonts w:asciiTheme="minorEastAsia" w:hAnsiTheme="minorEastAsia" w:eastAsiaTheme="minorEastAsia"/>
        </w:rPr>
      </w:pPr>
      <w:r>
        <w:rPr>
          <w:rFonts w:hint="eastAsia" w:asciiTheme="minorEastAsia" w:hAnsiTheme="minorEastAsia" w:eastAsiaTheme="minorEastAsia"/>
        </w:rPr>
        <w:t>服务商需按照院方要求提供具备专业技能的1位系统运维人员专人进行运维服务。系统运维人员要求具备三年或三年以上的系统开发或维护工作经验，能较快处理系统在运行中的故障问题。</w:t>
      </w:r>
    </w:p>
    <w:p>
      <w:pPr>
        <w:pStyle w:val="21"/>
        <w:numPr>
          <w:ilvl w:val="0"/>
          <w:numId w:val="19"/>
        </w:numPr>
        <w:spacing w:line="360" w:lineRule="auto"/>
        <w:ind w:firstLineChars="0"/>
        <w:rPr>
          <w:rFonts w:asciiTheme="minorEastAsia" w:hAnsiTheme="minorEastAsia" w:eastAsiaTheme="minorEastAsia"/>
        </w:rPr>
      </w:pPr>
      <w:r>
        <w:rPr>
          <w:rFonts w:hint="eastAsia" w:asciiTheme="minorEastAsia" w:hAnsiTheme="minorEastAsia" w:eastAsiaTheme="minorEastAsia"/>
        </w:rPr>
        <w:t>服务商需向院方提供驻场人员名单、具体每位驻点人员负责维护的系统范围。驻场服务人员原则上不得随意更换，如需更换须征求院方管理部门同意。</w:t>
      </w:r>
    </w:p>
    <w:p>
      <w:pPr>
        <w:pStyle w:val="21"/>
        <w:numPr>
          <w:ilvl w:val="0"/>
          <w:numId w:val="19"/>
        </w:numPr>
        <w:spacing w:line="360" w:lineRule="auto"/>
        <w:ind w:firstLineChars="0"/>
        <w:rPr>
          <w:rFonts w:asciiTheme="minorEastAsia" w:hAnsiTheme="minorEastAsia" w:eastAsiaTheme="minorEastAsia"/>
        </w:rPr>
      </w:pPr>
      <w:r>
        <w:rPr>
          <w:rFonts w:hint="eastAsia" w:asciiTheme="minorEastAsia" w:hAnsiTheme="minorEastAsia" w:eastAsiaTheme="minorEastAsia"/>
        </w:rPr>
        <w:t>专人服务地点：广东省人民医院院方指定地点。</w:t>
      </w:r>
    </w:p>
    <w:p>
      <w:pPr>
        <w:pStyle w:val="21"/>
        <w:numPr>
          <w:ilvl w:val="0"/>
          <w:numId w:val="19"/>
        </w:numPr>
        <w:spacing w:line="360" w:lineRule="auto"/>
        <w:ind w:firstLineChars="0"/>
        <w:rPr>
          <w:rFonts w:asciiTheme="minorEastAsia" w:hAnsiTheme="minorEastAsia" w:eastAsiaTheme="minorEastAsia"/>
        </w:rPr>
      </w:pPr>
      <w:r>
        <w:rPr>
          <w:rFonts w:hint="eastAsia" w:asciiTheme="minorEastAsia" w:hAnsiTheme="minorEastAsia" w:eastAsiaTheme="minorEastAsia"/>
        </w:rPr>
        <w:t>服务人员工作时应注意言行举止，要求佩戴工作证。</w:t>
      </w:r>
    </w:p>
    <w:p>
      <w:pPr>
        <w:pStyle w:val="21"/>
        <w:numPr>
          <w:ilvl w:val="0"/>
          <w:numId w:val="19"/>
        </w:numPr>
        <w:spacing w:line="360" w:lineRule="auto"/>
        <w:ind w:firstLineChars="0"/>
        <w:rPr>
          <w:rFonts w:asciiTheme="minorEastAsia" w:hAnsiTheme="minorEastAsia" w:eastAsiaTheme="minorEastAsia"/>
        </w:rPr>
      </w:pPr>
      <w:r>
        <w:rPr>
          <w:rFonts w:hint="eastAsia" w:asciiTheme="minorEastAsia" w:hAnsiTheme="minorEastAsia" w:eastAsiaTheme="minorEastAsia"/>
        </w:rPr>
        <w:t>服务人员休假超过1天时服务商安排其他人员补充并提前告知院方。</w:t>
      </w:r>
    </w:p>
    <w:p>
      <w:pPr>
        <w:pStyle w:val="21"/>
        <w:numPr>
          <w:ilvl w:val="0"/>
          <w:numId w:val="19"/>
        </w:numPr>
        <w:spacing w:line="360" w:lineRule="auto"/>
        <w:ind w:firstLineChars="0"/>
        <w:rPr>
          <w:rFonts w:asciiTheme="minorEastAsia" w:hAnsiTheme="minorEastAsia" w:eastAsiaTheme="minorEastAsia"/>
        </w:rPr>
      </w:pPr>
      <w:r>
        <w:rPr>
          <w:rFonts w:hint="eastAsia" w:asciiTheme="minorEastAsia" w:hAnsiTheme="minorEastAsia" w:eastAsiaTheme="minorEastAsia"/>
        </w:rPr>
        <w:t>服务人员需登记记录故障及处理情况，定期交院方项目负责人确认；服务商在每月5日前完成上月维护服务记录整理、提交院方信息管理处。</w:t>
      </w:r>
    </w:p>
    <w:p>
      <w:pPr>
        <w:pStyle w:val="21"/>
        <w:numPr>
          <w:ilvl w:val="0"/>
          <w:numId w:val="19"/>
        </w:numPr>
        <w:spacing w:line="360" w:lineRule="auto"/>
        <w:ind w:firstLineChars="0"/>
        <w:rPr>
          <w:rFonts w:asciiTheme="minorEastAsia" w:hAnsiTheme="minorEastAsia" w:eastAsiaTheme="minorEastAsia"/>
        </w:rPr>
      </w:pPr>
      <w:r>
        <w:rPr>
          <w:rFonts w:hint="eastAsia" w:asciiTheme="minorEastAsia" w:hAnsiTheme="minorEastAsia" w:eastAsiaTheme="minorEastAsia"/>
        </w:rPr>
        <w:t>服务商需在每月25日前需提供“节假日期间值班安排”给院方信息管理处。</w:t>
      </w:r>
    </w:p>
    <w:p>
      <w:pPr>
        <w:pStyle w:val="21"/>
        <w:numPr>
          <w:ilvl w:val="0"/>
          <w:numId w:val="19"/>
        </w:numPr>
        <w:spacing w:line="360" w:lineRule="auto"/>
        <w:ind w:firstLineChars="0"/>
        <w:rPr>
          <w:rFonts w:asciiTheme="minorEastAsia" w:hAnsiTheme="minorEastAsia" w:eastAsiaTheme="minorEastAsia"/>
        </w:rPr>
      </w:pPr>
      <w:r>
        <w:rPr>
          <w:rFonts w:hint="eastAsia" w:asciiTheme="minorEastAsia" w:hAnsiTheme="minorEastAsia" w:eastAsiaTheme="minorEastAsia"/>
        </w:rPr>
        <w:t>服务商需配合院方信息管理处定期走访医院重点用户部门，与用户进行现场交流，并解答用户问题。</w:t>
      </w:r>
    </w:p>
    <w:p>
      <w:pPr>
        <w:pStyle w:val="21"/>
        <w:numPr>
          <w:ilvl w:val="0"/>
          <w:numId w:val="19"/>
        </w:numPr>
        <w:spacing w:line="360" w:lineRule="auto"/>
        <w:ind w:firstLineChars="0"/>
        <w:rPr>
          <w:rFonts w:asciiTheme="minorEastAsia" w:hAnsiTheme="minorEastAsia" w:eastAsiaTheme="minorEastAsia"/>
        </w:rPr>
      </w:pPr>
      <w:r>
        <w:rPr>
          <w:rFonts w:hint="eastAsia" w:asciiTheme="minorEastAsia" w:hAnsiTheme="minorEastAsia" w:eastAsiaTheme="minorEastAsia"/>
        </w:rPr>
        <w:t>服务商应对服务质量予以保证，院方有权根据院方、服务商双方协商认可的服务评级方案（见附件1履约评分情况），每季度对维护的服务质量及每次版本实施的效果进行评价考核。评价考核结果与运维年度维护验收挂钩。</w:t>
      </w:r>
    </w:p>
    <w:p>
      <w:pPr>
        <w:pStyle w:val="3"/>
        <w:numPr>
          <w:ilvl w:val="0"/>
          <w:numId w:val="0"/>
        </w:numPr>
        <w:ind w:leftChars="0"/>
        <w:rPr>
          <w:rFonts w:hint="eastAsia" w:ascii="宋体" w:hAnsi="宋体" w:eastAsia="宋体" w:cs="宋体"/>
        </w:rPr>
      </w:pPr>
      <w:r>
        <w:rPr>
          <w:rFonts w:hint="eastAsia" w:cs="宋体"/>
          <w:lang w:val="en-US" w:eastAsia="zh-CN"/>
        </w:rPr>
        <w:t>四、</w:t>
      </w:r>
      <w:r>
        <w:rPr>
          <w:rFonts w:hint="eastAsia" w:ascii="宋体" w:hAnsi="宋体" w:eastAsia="宋体" w:cs="宋体"/>
        </w:rPr>
        <w:t>项目工期及实施要求</w:t>
      </w:r>
    </w:p>
    <w:p>
      <w:pPr>
        <w:pStyle w:val="12"/>
        <w:numPr>
          <w:ilvl w:val="0"/>
          <w:numId w:val="20"/>
        </w:numPr>
        <w:spacing w:before="156"/>
        <w:ind w:left="-60" w:leftChars="0" w:firstLine="480" w:firstLineChars="0"/>
        <w:jc w:val="left"/>
        <w:rPr>
          <w:rFonts w:hint="eastAsia" w:ascii="宋体" w:hAnsi="宋体" w:eastAsia="宋体" w:cs="宋体"/>
          <w:b/>
          <w:bCs/>
          <w:sz w:val="24"/>
          <w:szCs w:val="24"/>
        </w:rPr>
      </w:pPr>
      <w:r>
        <w:rPr>
          <w:rFonts w:hint="eastAsia" w:ascii="宋体" w:hAnsi="宋体" w:eastAsia="宋体" w:cs="宋体"/>
          <w:b/>
          <w:bCs/>
          <w:sz w:val="24"/>
          <w:szCs w:val="24"/>
        </w:rPr>
        <w:t>项目工期</w:t>
      </w:r>
    </w:p>
    <w:p>
      <w:pPr>
        <w:numPr>
          <w:ilvl w:val="0"/>
          <w:numId w:val="21"/>
        </w:numPr>
        <w:tabs>
          <w:tab w:val="left" w:pos="420"/>
        </w:tabs>
        <w:spacing w:before="156"/>
        <w:ind w:left="420" w:firstLine="480" w:firstLineChars="200"/>
        <w:outlineLvl w:val="0"/>
        <w:rPr>
          <w:rFonts w:hint="eastAsia" w:ascii="宋体" w:hAnsi="宋体" w:eastAsia="宋体" w:cs="宋体"/>
          <w:sz w:val="24"/>
          <w:szCs w:val="24"/>
        </w:rPr>
      </w:pPr>
      <w:r>
        <w:rPr>
          <w:rFonts w:hint="eastAsia" w:ascii="宋体" w:hAnsi="宋体" w:eastAsia="宋体" w:cs="宋体"/>
          <w:sz w:val="24"/>
          <w:szCs w:val="24"/>
        </w:rPr>
        <w:t>自合同签订日起，</w:t>
      </w:r>
      <w:r>
        <w:rPr>
          <w:rFonts w:hint="eastAsia" w:ascii="宋体" w:hAnsi="宋体" w:eastAsia="宋体" w:cs="宋体"/>
          <w:sz w:val="24"/>
          <w:szCs w:val="24"/>
          <w:lang w:eastAsia="zh-CN"/>
        </w:rPr>
        <w:t>服务方</w:t>
      </w:r>
      <w:r>
        <w:rPr>
          <w:rFonts w:hint="eastAsia" w:ascii="宋体" w:hAnsi="宋体" w:eastAsia="宋体" w:cs="宋体"/>
          <w:sz w:val="24"/>
          <w:szCs w:val="24"/>
        </w:rPr>
        <w:t>须在__</w:t>
      </w:r>
      <w:r>
        <w:rPr>
          <w:rFonts w:hint="eastAsia" w:ascii="宋体" w:hAnsi="宋体" w:eastAsia="宋体" w:cs="宋体"/>
          <w:sz w:val="24"/>
          <w:szCs w:val="24"/>
          <w:lang w:val="en-US" w:eastAsia="zh-CN"/>
        </w:rPr>
        <w:t>15</w:t>
      </w:r>
      <w:r>
        <w:rPr>
          <w:rFonts w:hint="eastAsia" w:ascii="宋体" w:hAnsi="宋体" w:eastAsia="宋体" w:cs="宋体"/>
          <w:sz w:val="24"/>
          <w:szCs w:val="24"/>
        </w:rPr>
        <w:t>___个工作日内对《用户需求说明书》进行补充、确认或提出意见。</w:t>
      </w:r>
    </w:p>
    <w:p>
      <w:pPr>
        <w:numPr>
          <w:ilvl w:val="0"/>
          <w:numId w:val="21"/>
        </w:numPr>
        <w:spacing w:before="156"/>
        <w:ind w:left="420" w:firstLine="480" w:firstLineChars="200"/>
        <w:outlineLvl w:val="0"/>
        <w:rPr>
          <w:rFonts w:hint="eastAsia" w:ascii="宋体" w:hAnsi="宋体" w:eastAsia="宋体" w:cs="宋体"/>
          <w:sz w:val="24"/>
          <w:szCs w:val="24"/>
        </w:rPr>
      </w:pPr>
      <w:r>
        <w:rPr>
          <w:rFonts w:hint="eastAsia" w:ascii="宋体" w:hAnsi="宋体" w:eastAsia="宋体" w:cs="宋体"/>
          <w:sz w:val="24"/>
          <w:szCs w:val="24"/>
          <w:lang w:eastAsia="zh-CN"/>
        </w:rPr>
        <w:t>服务方</w:t>
      </w:r>
      <w:r>
        <w:rPr>
          <w:rFonts w:hint="eastAsia" w:ascii="宋体" w:hAnsi="宋体" w:eastAsia="宋体" w:cs="宋体"/>
          <w:sz w:val="24"/>
          <w:szCs w:val="24"/>
        </w:rPr>
        <w:t>对《用户需求说明书》提出意见后，</w:t>
      </w:r>
      <w:r>
        <w:rPr>
          <w:rFonts w:hint="eastAsia" w:ascii="宋体" w:hAnsi="宋体" w:eastAsia="宋体" w:cs="宋体"/>
          <w:sz w:val="24"/>
          <w:szCs w:val="24"/>
          <w:lang w:eastAsia="zh-CN"/>
        </w:rPr>
        <w:t>院方</w:t>
      </w:r>
      <w:r>
        <w:rPr>
          <w:rFonts w:hint="eastAsia" w:ascii="宋体" w:hAnsi="宋体" w:eastAsia="宋体" w:cs="宋体"/>
          <w:sz w:val="24"/>
          <w:szCs w:val="24"/>
        </w:rPr>
        <w:t>组织进行用户需求调研，</w:t>
      </w:r>
      <w:r>
        <w:rPr>
          <w:rFonts w:hint="eastAsia" w:ascii="宋体" w:hAnsi="宋体" w:eastAsia="宋体" w:cs="宋体"/>
          <w:sz w:val="24"/>
          <w:szCs w:val="24"/>
          <w:lang w:eastAsia="zh-CN"/>
        </w:rPr>
        <w:t>服务方</w:t>
      </w:r>
      <w:r>
        <w:rPr>
          <w:rFonts w:hint="eastAsia" w:ascii="宋体" w:hAnsi="宋体" w:eastAsia="宋体" w:cs="宋体"/>
          <w:sz w:val="24"/>
          <w:szCs w:val="24"/>
        </w:rPr>
        <w:t>根据调研情况提供业务调研记录、现况分析、功能设计及说明，甲、乙双方共同整理并在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个工作日内确认《需求规格说明书》。</w:t>
      </w:r>
    </w:p>
    <w:p>
      <w:pPr>
        <w:numPr>
          <w:ilvl w:val="0"/>
          <w:numId w:val="21"/>
        </w:numPr>
        <w:spacing w:before="156"/>
        <w:ind w:left="420" w:firstLine="480" w:firstLineChars="200"/>
        <w:outlineLvl w:val="0"/>
        <w:rPr>
          <w:rFonts w:hint="eastAsia" w:ascii="宋体" w:hAnsi="宋体" w:eastAsia="宋体" w:cs="宋体"/>
          <w:sz w:val="24"/>
          <w:szCs w:val="24"/>
        </w:rPr>
      </w:pPr>
      <w:r>
        <w:rPr>
          <w:rFonts w:hint="eastAsia" w:ascii="宋体" w:hAnsi="宋体" w:eastAsia="宋体" w:cs="宋体"/>
          <w:sz w:val="24"/>
          <w:szCs w:val="24"/>
          <w:lang w:eastAsia="zh-CN"/>
        </w:rPr>
        <w:t>项目建设周期</w:t>
      </w:r>
      <w:r>
        <w:rPr>
          <w:rFonts w:hint="eastAsia" w:ascii="宋体" w:hAnsi="宋体" w:eastAsia="宋体" w:cs="宋体"/>
          <w:sz w:val="24"/>
          <w:szCs w:val="24"/>
          <w:lang w:val="en-US" w:eastAsia="zh-CN"/>
        </w:rPr>
        <w:t>16个月</w:t>
      </w:r>
      <w:r>
        <w:rPr>
          <w:rFonts w:hint="eastAsia" w:ascii="宋体" w:hAnsi="宋体" w:eastAsia="宋体" w:cs="宋体"/>
          <w:sz w:val="24"/>
          <w:szCs w:val="24"/>
        </w:rPr>
        <w:t>。</w:t>
      </w:r>
    </w:p>
    <w:p>
      <w:pPr>
        <w:numPr>
          <w:ilvl w:val="0"/>
          <w:numId w:val="21"/>
        </w:numPr>
        <w:spacing w:before="156"/>
        <w:ind w:left="420" w:firstLine="480" w:firstLineChars="200"/>
        <w:outlineLvl w:val="0"/>
        <w:rPr>
          <w:rFonts w:hint="eastAsia" w:ascii="宋体" w:hAnsi="宋体" w:eastAsia="宋体" w:cs="宋体"/>
          <w:sz w:val="24"/>
          <w:szCs w:val="24"/>
        </w:rPr>
      </w:pPr>
      <w:r>
        <w:rPr>
          <w:rFonts w:hint="eastAsia" w:ascii="宋体" w:hAnsi="宋体" w:eastAsia="宋体" w:cs="宋体"/>
          <w:sz w:val="24"/>
          <w:szCs w:val="24"/>
          <w:lang w:eastAsia="zh-CN"/>
        </w:rPr>
        <w:t>服务方</w:t>
      </w:r>
      <w:r>
        <w:rPr>
          <w:rFonts w:hint="eastAsia" w:ascii="宋体" w:hAnsi="宋体" w:eastAsia="宋体" w:cs="宋体"/>
          <w:sz w:val="24"/>
          <w:szCs w:val="24"/>
        </w:rPr>
        <w:t>完成软件实施，并根据</w:t>
      </w:r>
      <w:r>
        <w:rPr>
          <w:rFonts w:hint="eastAsia" w:ascii="宋体" w:hAnsi="宋体" w:eastAsia="宋体" w:cs="宋体"/>
          <w:sz w:val="24"/>
          <w:szCs w:val="24"/>
          <w:lang w:eastAsia="zh-CN"/>
        </w:rPr>
        <w:t>院方</w:t>
      </w:r>
      <w:r>
        <w:rPr>
          <w:rFonts w:hint="eastAsia" w:ascii="宋体" w:hAnsi="宋体" w:eastAsia="宋体" w:cs="宋体"/>
          <w:sz w:val="24"/>
          <w:szCs w:val="24"/>
        </w:rPr>
        <w:t>提出的新需求完成修改后，系统运行___</w:t>
      </w:r>
      <w:r>
        <w:rPr>
          <w:rFonts w:hint="eastAsia" w:ascii="宋体" w:hAnsi="宋体" w:eastAsia="宋体" w:cs="宋体"/>
          <w:sz w:val="24"/>
          <w:szCs w:val="24"/>
          <w:lang w:val="en-US" w:eastAsia="zh-CN"/>
        </w:rPr>
        <w:t>3</w:t>
      </w:r>
      <w:r>
        <w:rPr>
          <w:rFonts w:hint="eastAsia" w:ascii="宋体" w:hAnsi="宋体" w:eastAsia="宋体" w:cs="宋体"/>
          <w:sz w:val="24"/>
          <w:szCs w:val="24"/>
        </w:rPr>
        <w:t>__个月以上无软件故障出现，则由</w:t>
      </w:r>
      <w:r>
        <w:rPr>
          <w:rFonts w:hint="eastAsia" w:ascii="宋体" w:hAnsi="宋体" w:eastAsia="宋体" w:cs="宋体"/>
          <w:sz w:val="24"/>
          <w:szCs w:val="24"/>
          <w:lang w:eastAsia="zh-CN"/>
        </w:rPr>
        <w:t>服务方</w:t>
      </w:r>
      <w:r>
        <w:rPr>
          <w:rFonts w:hint="eastAsia" w:ascii="宋体" w:hAnsi="宋体" w:eastAsia="宋体" w:cs="宋体"/>
          <w:sz w:val="24"/>
          <w:szCs w:val="24"/>
        </w:rPr>
        <w:t>向</w:t>
      </w:r>
      <w:r>
        <w:rPr>
          <w:rFonts w:hint="eastAsia" w:ascii="宋体" w:hAnsi="宋体" w:eastAsia="宋体" w:cs="宋体"/>
          <w:sz w:val="24"/>
          <w:szCs w:val="24"/>
          <w:lang w:eastAsia="zh-CN"/>
        </w:rPr>
        <w:t>院方</w:t>
      </w:r>
      <w:r>
        <w:rPr>
          <w:rFonts w:hint="eastAsia" w:ascii="宋体" w:hAnsi="宋体" w:eastAsia="宋体" w:cs="宋体"/>
          <w:sz w:val="24"/>
          <w:szCs w:val="24"/>
        </w:rPr>
        <w:t>申请验收。</w:t>
      </w:r>
    </w:p>
    <w:p>
      <w:pPr>
        <w:numPr>
          <w:ilvl w:val="0"/>
          <w:numId w:val="21"/>
        </w:numPr>
        <w:spacing w:before="156"/>
        <w:ind w:left="420" w:firstLine="480" w:firstLineChars="200"/>
        <w:outlineLvl w:val="0"/>
        <w:rPr>
          <w:rFonts w:hint="eastAsia" w:ascii="宋体" w:hAnsi="宋体" w:eastAsia="宋体" w:cs="宋体"/>
          <w:sz w:val="24"/>
          <w:szCs w:val="24"/>
        </w:rPr>
      </w:pPr>
      <w:r>
        <w:rPr>
          <w:rFonts w:hint="eastAsia" w:ascii="宋体" w:hAnsi="宋体" w:eastAsia="宋体" w:cs="宋体"/>
          <w:sz w:val="24"/>
          <w:szCs w:val="24"/>
        </w:rPr>
        <w:t>以上各阶段</w:t>
      </w:r>
      <w:r>
        <w:rPr>
          <w:rFonts w:hint="eastAsia" w:ascii="宋体" w:hAnsi="宋体" w:eastAsia="宋体" w:cs="宋体"/>
          <w:sz w:val="24"/>
          <w:szCs w:val="24"/>
          <w:lang w:eastAsia="zh-CN"/>
        </w:rPr>
        <w:t>服务方</w:t>
      </w:r>
      <w:r>
        <w:rPr>
          <w:rFonts w:hint="eastAsia" w:ascii="宋体" w:hAnsi="宋体" w:eastAsia="宋体" w:cs="宋体"/>
          <w:sz w:val="24"/>
          <w:szCs w:val="24"/>
        </w:rPr>
        <w:t>如因提交合同标的质量问题而致工期延误则由</w:t>
      </w:r>
      <w:r>
        <w:rPr>
          <w:rFonts w:hint="eastAsia" w:ascii="宋体" w:hAnsi="宋体" w:eastAsia="宋体" w:cs="宋体"/>
          <w:sz w:val="24"/>
          <w:szCs w:val="24"/>
          <w:lang w:eastAsia="zh-CN"/>
        </w:rPr>
        <w:t>服务方</w:t>
      </w:r>
      <w:r>
        <w:rPr>
          <w:rFonts w:hint="eastAsia" w:ascii="宋体" w:hAnsi="宋体" w:eastAsia="宋体" w:cs="宋体"/>
          <w:sz w:val="24"/>
          <w:szCs w:val="24"/>
        </w:rPr>
        <w:t>对延误工期承担责任</w:t>
      </w:r>
      <w:r>
        <w:rPr>
          <w:rFonts w:hint="eastAsia" w:ascii="宋体" w:hAnsi="宋体" w:eastAsia="宋体" w:cs="宋体"/>
          <w:sz w:val="24"/>
          <w:szCs w:val="24"/>
          <w:lang w:eastAsia="zh-CN"/>
        </w:rPr>
        <w:t>；</w:t>
      </w:r>
      <w:r>
        <w:rPr>
          <w:rFonts w:hint="eastAsia" w:ascii="宋体" w:hAnsi="宋体" w:eastAsia="宋体" w:cs="宋体"/>
          <w:sz w:val="24"/>
          <w:szCs w:val="24"/>
        </w:rPr>
        <w:t>如因</w:t>
      </w:r>
      <w:r>
        <w:rPr>
          <w:rFonts w:hint="eastAsia" w:ascii="宋体" w:hAnsi="宋体" w:eastAsia="宋体" w:cs="宋体"/>
          <w:sz w:val="24"/>
          <w:szCs w:val="24"/>
          <w:lang w:eastAsia="zh-CN"/>
        </w:rPr>
        <w:t>院方</w:t>
      </w:r>
      <w:r>
        <w:rPr>
          <w:rFonts w:hint="eastAsia" w:ascii="宋体" w:hAnsi="宋体" w:eastAsia="宋体" w:cs="宋体"/>
          <w:sz w:val="24"/>
          <w:szCs w:val="24"/>
        </w:rPr>
        <w:t>未按约定提供支持与配合工作致工期延误则由</w:t>
      </w:r>
      <w:r>
        <w:rPr>
          <w:rFonts w:hint="eastAsia" w:ascii="宋体" w:hAnsi="宋体" w:eastAsia="宋体" w:cs="宋体"/>
          <w:sz w:val="24"/>
          <w:szCs w:val="24"/>
          <w:lang w:eastAsia="zh-CN"/>
        </w:rPr>
        <w:t>院方</w:t>
      </w:r>
      <w:r>
        <w:rPr>
          <w:rFonts w:hint="eastAsia" w:ascii="宋体" w:hAnsi="宋体" w:eastAsia="宋体" w:cs="宋体"/>
          <w:sz w:val="24"/>
          <w:szCs w:val="24"/>
        </w:rPr>
        <w:t>对延误工期承担责任。</w:t>
      </w:r>
    </w:p>
    <w:p>
      <w:pPr>
        <w:spacing w:before="156"/>
        <w:ind w:left="566" w:firstLine="0" w:firstLineChars="0"/>
        <w:rPr>
          <w:rFonts w:hint="eastAsia" w:ascii="宋体" w:hAnsi="宋体" w:eastAsia="宋体" w:cs="宋体"/>
          <w:sz w:val="24"/>
          <w:szCs w:val="24"/>
        </w:rPr>
      </w:pPr>
    </w:p>
    <w:p>
      <w:pPr>
        <w:pStyle w:val="3"/>
        <w:keepNext w:val="0"/>
        <w:keepLines w:val="0"/>
        <w:numPr>
          <w:ilvl w:val="0"/>
          <w:numId w:val="22"/>
        </w:numPr>
        <w:spacing w:before="156" w:after="0"/>
        <w:ind w:left="0" w:firstLine="425" w:firstLineChars="0"/>
        <w:jc w:val="center"/>
        <w:rPr>
          <w:rFonts w:hint="eastAsia" w:ascii="宋体" w:hAnsi="宋体" w:eastAsia="宋体" w:cs="宋体"/>
          <w:sz w:val="28"/>
          <w:szCs w:val="28"/>
        </w:rPr>
      </w:pPr>
      <w:r>
        <w:rPr>
          <w:rFonts w:hint="eastAsia" w:ascii="宋体" w:hAnsi="宋体" w:eastAsia="宋体" w:cs="宋体"/>
          <w:sz w:val="28"/>
          <w:szCs w:val="28"/>
        </w:rPr>
        <w:t xml:space="preserve">  项目质量</w:t>
      </w:r>
    </w:p>
    <w:p>
      <w:pPr>
        <w:spacing w:before="156"/>
        <w:ind w:left="480" w:leftChars="200" w:firstLine="480"/>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服务方</w:t>
      </w:r>
      <w:r>
        <w:rPr>
          <w:rFonts w:hint="eastAsia" w:ascii="宋体" w:hAnsi="宋体" w:eastAsia="宋体" w:cs="宋体"/>
          <w:sz w:val="24"/>
          <w:szCs w:val="24"/>
        </w:rPr>
        <w:t>提供的软件必须完全符合双方确认的</w:t>
      </w:r>
      <w:bookmarkStart w:id="1" w:name="OLE_LINK1"/>
      <w:bookmarkStart w:id="2" w:name="OLE_LINK2"/>
      <w:r>
        <w:rPr>
          <w:rFonts w:hint="eastAsia" w:ascii="宋体" w:hAnsi="宋体" w:eastAsia="宋体" w:cs="宋体"/>
          <w:sz w:val="24"/>
          <w:szCs w:val="24"/>
        </w:rPr>
        <w:t>《需求规格说明书》中叙述的功能性需求和非功能性需求（包括显式和隐含描述的需求）、</w:t>
      </w:r>
      <w:bookmarkEnd w:id="1"/>
      <w:bookmarkEnd w:id="2"/>
      <w:r>
        <w:rPr>
          <w:rFonts w:hint="eastAsia" w:ascii="宋体" w:hAnsi="宋体" w:eastAsia="宋体" w:cs="宋体"/>
          <w:sz w:val="24"/>
          <w:szCs w:val="24"/>
        </w:rPr>
        <w:t>外部接口，并满足如下质量指标</w:t>
      </w:r>
      <w:r>
        <w:rPr>
          <w:rFonts w:hint="eastAsia" w:ascii="宋体" w:hAnsi="宋体" w:eastAsia="宋体" w:cs="宋体"/>
          <w:sz w:val="24"/>
          <w:szCs w:val="24"/>
          <w:lang w:eastAsia="zh-CN"/>
        </w:rPr>
        <w:t>。</w:t>
      </w:r>
    </w:p>
    <w:p>
      <w:pPr>
        <w:pStyle w:val="12"/>
        <w:numPr>
          <w:ilvl w:val="0"/>
          <w:numId w:val="23"/>
        </w:numPr>
        <w:spacing w:before="156"/>
        <w:ind w:left="480" w:leftChars="200" w:firstLine="482" w:firstLineChars="200"/>
        <w:jc w:val="left"/>
        <w:rPr>
          <w:rFonts w:hint="eastAsia" w:ascii="宋体" w:hAnsi="宋体" w:eastAsia="宋体" w:cs="宋体"/>
          <w:sz w:val="24"/>
          <w:szCs w:val="24"/>
        </w:rPr>
      </w:pPr>
      <w:r>
        <w:rPr>
          <w:rFonts w:hint="eastAsia" w:ascii="宋体" w:hAnsi="宋体" w:eastAsia="宋体" w:cs="宋体"/>
          <w:sz w:val="24"/>
          <w:szCs w:val="24"/>
        </w:rPr>
        <w:t>功能性的质量指标</w:t>
      </w:r>
    </w:p>
    <w:p>
      <w:pPr>
        <w:numPr>
          <w:ilvl w:val="0"/>
          <w:numId w:val="24"/>
        </w:numPr>
        <w:spacing w:before="156"/>
        <w:ind w:left="480" w:leftChars="200" w:firstLine="480" w:firstLineChars="200"/>
        <w:outlineLvl w:val="0"/>
        <w:rPr>
          <w:rFonts w:hint="eastAsia" w:ascii="宋体" w:hAnsi="宋体" w:eastAsia="宋体" w:cs="宋体"/>
          <w:sz w:val="24"/>
          <w:szCs w:val="24"/>
        </w:rPr>
      </w:pPr>
      <w:r>
        <w:rPr>
          <w:rFonts w:hint="eastAsia" w:ascii="宋体" w:hAnsi="宋体" w:eastAsia="宋体" w:cs="宋体"/>
          <w:sz w:val="24"/>
          <w:szCs w:val="24"/>
        </w:rPr>
        <w:t>功能的正确性：软件的功能和《需求规格说明书》中功能需求的描述一致。</w:t>
      </w:r>
    </w:p>
    <w:p>
      <w:pPr>
        <w:numPr>
          <w:ilvl w:val="0"/>
          <w:numId w:val="24"/>
        </w:numPr>
        <w:spacing w:before="156"/>
        <w:ind w:left="480" w:leftChars="200" w:firstLine="480" w:firstLineChars="200"/>
        <w:outlineLvl w:val="0"/>
        <w:rPr>
          <w:rFonts w:hint="eastAsia" w:ascii="宋体" w:hAnsi="宋体" w:eastAsia="宋体" w:cs="宋体"/>
          <w:sz w:val="24"/>
          <w:szCs w:val="24"/>
        </w:rPr>
      </w:pPr>
      <w:r>
        <w:rPr>
          <w:rFonts w:hint="eastAsia" w:ascii="宋体" w:hAnsi="宋体" w:eastAsia="宋体" w:cs="宋体"/>
          <w:sz w:val="24"/>
          <w:szCs w:val="24"/>
        </w:rPr>
        <w:t>功能的准确性：软件产生的结果在精度允许的误差范围内。</w:t>
      </w:r>
    </w:p>
    <w:p>
      <w:pPr>
        <w:numPr>
          <w:ilvl w:val="0"/>
          <w:numId w:val="24"/>
        </w:numPr>
        <w:spacing w:before="156"/>
        <w:ind w:left="480" w:leftChars="200" w:firstLine="480" w:firstLineChars="200"/>
        <w:outlineLvl w:val="0"/>
        <w:rPr>
          <w:rFonts w:hint="eastAsia" w:ascii="宋体" w:hAnsi="宋体" w:eastAsia="宋体" w:cs="宋体"/>
          <w:sz w:val="24"/>
          <w:szCs w:val="24"/>
        </w:rPr>
      </w:pPr>
      <w:r>
        <w:rPr>
          <w:rFonts w:hint="eastAsia" w:ascii="宋体" w:hAnsi="宋体" w:eastAsia="宋体" w:cs="宋体"/>
          <w:sz w:val="24"/>
          <w:szCs w:val="24"/>
        </w:rPr>
        <w:t>功能的完整性：软件所有功能及其定义清楚、可用。</w:t>
      </w:r>
    </w:p>
    <w:p>
      <w:pPr>
        <w:pStyle w:val="12"/>
        <w:numPr>
          <w:ilvl w:val="0"/>
          <w:numId w:val="23"/>
        </w:numPr>
        <w:spacing w:before="156"/>
        <w:ind w:left="478" w:leftChars="199" w:firstLine="482" w:firstLineChars="200"/>
        <w:jc w:val="left"/>
        <w:rPr>
          <w:rFonts w:hint="eastAsia" w:ascii="宋体" w:hAnsi="宋体" w:eastAsia="宋体" w:cs="宋体"/>
          <w:sz w:val="24"/>
          <w:szCs w:val="24"/>
        </w:rPr>
      </w:pPr>
      <w:r>
        <w:rPr>
          <w:rFonts w:hint="eastAsia" w:ascii="宋体" w:hAnsi="宋体" w:eastAsia="宋体" w:cs="宋体"/>
          <w:sz w:val="24"/>
          <w:szCs w:val="24"/>
        </w:rPr>
        <w:t>可靠性的质量指标</w:t>
      </w:r>
    </w:p>
    <w:p>
      <w:pPr>
        <w:numPr>
          <w:ilvl w:val="0"/>
          <w:numId w:val="25"/>
        </w:numPr>
        <w:spacing w:before="156"/>
        <w:ind w:left="478" w:leftChars="199" w:firstLine="480" w:firstLineChars="200"/>
        <w:outlineLvl w:val="0"/>
        <w:rPr>
          <w:rFonts w:hint="eastAsia" w:ascii="宋体" w:hAnsi="宋体" w:eastAsia="宋体" w:cs="宋体"/>
          <w:sz w:val="24"/>
          <w:szCs w:val="24"/>
        </w:rPr>
      </w:pPr>
      <w:r>
        <w:rPr>
          <w:rFonts w:hint="eastAsia" w:ascii="宋体" w:hAnsi="宋体" w:eastAsia="宋体" w:cs="宋体"/>
          <w:sz w:val="24"/>
          <w:szCs w:val="24"/>
        </w:rPr>
        <w:t>成熟性</w:t>
      </w:r>
    </w:p>
    <w:p>
      <w:pPr>
        <w:numPr>
          <w:ilvl w:val="0"/>
          <w:numId w:val="0"/>
        </w:numPr>
        <w:tabs>
          <w:tab w:val="left" w:pos="780"/>
        </w:tabs>
        <w:spacing w:before="156"/>
        <w:ind w:left="480" w:leftChars="200" w:firstLine="420" w:firstLineChars="175"/>
        <w:outlineLvl w:val="0"/>
        <w:rPr>
          <w:rFonts w:hint="eastAsia" w:ascii="宋体" w:hAnsi="宋体" w:eastAsia="宋体" w:cs="宋体"/>
          <w:sz w:val="24"/>
          <w:szCs w:val="24"/>
        </w:rPr>
      </w:pPr>
      <w:r>
        <w:rPr>
          <w:rFonts w:hint="eastAsia" w:ascii="宋体" w:hAnsi="宋体" w:eastAsia="宋体" w:cs="宋体"/>
          <w:sz w:val="24"/>
          <w:szCs w:val="24"/>
        </w:rPr>
        <w:t>严重软件故障出现的概率应小于1次/3月。</w:t>
      </w:r>
    </w:p>
    <w:p>
      <w:pPr>
        <w:numPr>
          <w:ilvl w:val="0"/>
          <w:numId w:val="25"/>
        </w:numPr>
        <w:spacing w:before="156"/>
        <w:ind w:left="478" w:leftChars="199" w:firstLine="480" w:firstLineChars="200"/>
        <w:outlineLvl w:val="0"/>
        <w:rPr>
          <w:rFonts w:hint="eastAsia" w:ascii="宋体" w:hAnsi="宋体" w:eastAsia="宋体" w:cs="宋体"/>
          <w:sz w:val="24"/>
          <w:szCs w:val="24"/>
        </w:rPr>
      </w:pPr>
      <w:r>
        <w:rPr>
          <w:rFonts w:hint="eastAsia" w:ascii="宋体" w:hAnsi="宋体" w:eastAsia="宋体" w:cs="宋体"/>
          <w:sz w:val="24"/>
          <w:szCs w:val="24"/>
        </w:rPr>
        <w:t>容错性</w:t>
      </w:r>
    </w:p>
    <w:p>
      <w:pPr>
        <w:numPr>
          <w:ilvl w:val="0"/>
          <w:numId w:val="0"/>
        </w:numPr>
        <w:tabs>
          <w:tab w:val="left" w:pos="780"/>
        </w:tabs>
        <w:spacing w:before="156"/>
        <w:ind w:left="480" w:leftChars="200" w:firstLine="480" w:firstLineChars="200"/>
        <w:outlineLvl w:val="0"/>
        <w:rPr>
          <w:rFonts w:hint="eastAsia" w:ascii="宋体" w:hAnsi="宋体" w:eastAsia="宋体" w:cs="宋体"/>
          <w:sz w:val="24"/>
          <w:szCs w:val="24"/>
        </w:rPr>
      </w:pPr>
      <w:r>
        <w:rPr>
          <w:rFonts w:hint="eastAsia" w:ascii="宋体" w:hAnsi="宋体" w:eastAsia="宋体" w:cs="宋体"/>
          <w:sz w:val="24"/>
          <w:szCs w:val="24"/>
        </w:rPr>
        <w:t>由于软件故障对软件运作造成的影响应尽可能限制在极小范围，不可造成已保存的数据丢失或改变；局部的错误不可影响其它功能的正常运作。</w:t>
      </w:r>
    </w:p>
    <w:p>
      <w:pPr>
        <w:numPr>
          <w:ilvl w:val="0"/>
          <w:numId w:val="25"/>
        </w:numPr>
        <w:spacing w:before="156"/>
        <w:ind w:left="478" w:leftChars="199" w:firstLine="480" w:firstLineChars="200"/>
        <w:outlineLvl w:val="0"/>
        <w:rPr>
          <w:rFonts w:hint="eastAsia" w:ascii="宋体" w:hAnsi="宋体" w:eastAsia="宋体" w:cs="宋体"/>
          <w:sz w:val="24"/>
          <w:szCs w:val="24"/>
        </w:rPr>
      </w:pPr>
      <w:r>
        <w:rPr>
          <w:rFonts w:hint="eastAsia" w:ascii="宋体" w:hAnsi="宋体" w:eastAsia="宋体" w:cs="宋体"/>
          <w:sz w:val="24"/>
          <w:szCs w:val="24"/>
        </w:rPr>
        <w:t>易恢复性</w:t>
      </w:r>
    </w:p>
    <w:p>
      <w:pPr>
        <w:numPr>
          <w:ilvl w:val="0"/>
          <w:numId w:val="0"/>
        </w:numPr>
        <w:tabs>
          <w:tab w:val="left" w:pos="780"/>
        </w:tabs>
        <w:spacing w:before="156"/>
        <w:ind w:left="499" w:leftChars="208" w:firstLine="480" w:firstLineChars="200"/>
        <w:outlineLvl w:val="0"/>
        <w:rPr>
          <w:rFonts w:hint="eastAsia" w:ascii="宋体" w:hAnsi="宋体" w:eastAsia="宋体" w:cs="宋体"/>
          <w:sz w:val="24"/>
          <w:szCs w:val="24"/>
        </w:rPr>
      </w:pPr>
      <w:r>
        <w:rPr>
          <w:rFonts w:hint="eastAsia" w:ascii="宋体" w:hAnsi="宋体" w:eastAsia="宋体" w:cs="宋体"/>
          <w:sz w:val="24"/>
          <w:szCs w:val="24"/>
        </w:rPr>
        <w:t>当软件的某个功能失效发生时，软件在当前环境下能实现故障自动转移，重新自动配置、继续执行的能力，软件具有自我检测、容错、备份等机制，尽量做到独立于硬件的编码、硬件设备之间的通信协议一致等。</w:t>
      </w:r>
    </w:p>
    <w:p>
      <w:pPr>
        <w:pStyle w:val="12"/>
        <w:numPr>
          <w:ilvl w:val="0"/>
          <w:numId w:val="23"/>
        </w:numPr>
        <w:spacing w:before="156"/>
        <w:ind w:left="478" w:leftChars="199" w:firstLine="482" w:firstLineChars="200"/>
        <w:jc w:val="left"/>
        <w:rPr>
          <w:rFonts w:hint="eastAsia" w:ascii="宋体" w:hAnsi="宋体" w:eastAsia="宋体" w:cs="宋体"/>
          <w:sz w:val="24"/>
          <w:szCs w:val="24"/>
        </w:rPr>
      </w:pPr>
      <w:r>
        <w:rPr>
          <w:rFonts w:hint="eastAsia" w:ascii="宋体" w:hAnsi="宋体" w:eastAsia="宋体" w:cs="宋体"/>
          <w:sz w:val="24"/>
          <w:szCs w:val="24"/>
        </w:rPr>
        <w:t>性能的质量指标</w:t>
      </w:r>
    </w:p>
    <w:p>
      <w:pPr>
        <w:spacing w:before="156"/>
        <w:ind w:left="478" w:leftChars="199"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软件在通信、处理、存储等方面占有很少资源或者对所使用的资源进行了优化并达到</w:t>
      </w:r>
      <w:r>
        <w:rPr>
          <w:rFonts w:hint="eastAsia" w:ascii="宋体" w:hAnsi="宋体" w:eastAsia="宋体" w:cs="宋体"/>
          <w:sz w:val="24"/>
          <w:szCs w:val="24"/>
          <w:lang w:val="en-US" w:eastAsia="zh-CN"/>
        </w:rPr>
        <w:t>所要求的其他性能质量指标</w:t>
      </w:r>
      <w:r>
        <w:rPr>
          <w:rFonts w:hint="eastAsia" w:ascii="宋体" w:hAnsi="宋体" w:eastAsia="宋体" w:cs="宋体"/>
          <w:sz w:val="24"/>
          <w:szCs w:val="24"/>
          <w:lang w:eastAsia="zh-CN"/>
        </w:rPr>
        <w:t>。</w:t>
      </w:r>
    </w:p>
    <w:p>
      <w:pPr>
        <w:numPr>
          <w:ilvl w:val="0"/>
          <w:numId w:val="26"/>
        </w:numPr>
        <w:spacing w:before="156"/>
        <w:ind w:left="478" w:leftChars="199" w:firstLine="480" w:firstLineChars="200"/>
        <w:outlineLvl w:val="0"/>
        <w:rPr>
          <w:rFonts w:hint="eastAsia" w:ascii="宋体" w:hAnsi="宋体" w:eastAsia="宋体" w:cs="宋体"/>
          <w:sz w:val="24"/>
          <w:szCs w:val="24"/>
        </w:rPr>
      </w:pPr>
      <w:r>
        <w:rPr>
          <w:rFonts w:hint="eastAsia" w:ascii="宋体" w:hAnsi="宋体" w:eastAsia="宋体" w:cs="宋体"/>
          <w:sz w:val="24"/>
          <w:szCs w:val="24"/>
        </w:rPr>
        <w:t>响应时间</w:t>
      </w:r>
    </w:p>
    <w:p>
      <w:pPr>
        <w:numPr>
          <w:ilvl w:val="0"/>
          <w:numId w:val="0"/>
        </w:numPr>
        <w:tabs>
          <w:tab w:val="left" w:pos="720"/>
        </w:tabs>
        <w:spacing w:before="156"/>
        <w:ind w:left="499" w:leftChars="208" w:firstLine="480" w:firstLineChars="200"/>
        <w:outlineLvl w:val="0"/>
        <w:rPr>
          <w:rFonts w:hint="eastAsia" w:ascii="宋体" w:hAnsi="宋体" w:eastAsia="宋体" w:cs="宋体"/>
          <w:sz w:val="24"/>
          <w:szCs w:val="24"/>
        </w:rPr>
      </w:pPr>
      <w:r>
        <w:rPr>
          <w:rFonts w:hint="eastAsia" w:ascii="宋体" w:hAnsi="宋体" w:eastAsia="宋体" w:cs="宋体"/>
          <w:sz w:val="24"/>
          <w:szCs w:val="24"/>
        </w:rPr>
        <w:t>软件对请求作出响应的时间，与业务处理相关操作的系统最大响应时间，从用户视角来看应为即时响应，无停顿或等待感觉；日常业务报表统计功能最大响应时间不能影响运作中系统的性能。</w:t>
      </w:r>
    </w:p>
    <w:p>
      <w:pPr>
        <w:numPr>
          <w:ilvl w:val="0"/>
          <w:numId w:val="26"/>
        </w:numPr>
        <w:spacing w:before="156"/>
        <w:ind w:left="478" w:leftChars="199" w:firstLine="480" w:firstLineChars="200"/>
        <w:outlineLvl w:val="0"/>
        <w:rPr>
          <w:rFonts w:hint="eastAsia" w:ascii="宋体" w:hAnsi="宋体" w:eastAsia="宋体" w:cs="宋体"/>
          <w:sz w:val="24"/>
          <w:szCs w:val="24"/>
        </w:rPr>
      </w:pPr>
      <w:r>
        <w:rPr>
          <w:rFonts w:hint="eastAsia" w:ascii="宋体" w:hAnsi="宋体" w:eastAsia="宋体" w:cs="宋体"/>
          <w:sz w:val="24"/>
          <w:szCs w:val="24"/>
        </w:rPr>
        <w:t>并发用户数</w:t>
      </w:r>
    </w:p>
    <w:p>
      <w:pPr>
        <w:numPr>
          <w:ilvl w:val="0"/>
          <w:numId w:val="0"/>
        </w:numPr>
        <w:tabs>
          <w:tab w:val="left" w:pos="720"/>
        </w:tabs>
        <w:spacing w:before="156"/>
        <w:ind w:left="499" w:leftChars="208" w:firstLine="480" w:firstLineChars="200"/>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供应商需按院方所要求的压力测试软件（LoadRunner、Apache JMeter、NeoLoad、WebLOAD等）进行测试，压力测试软件由供应商自行准备。软件上线前需通过并发数为</w:t>
      </w:r>
      <w:r>
        <w:rPr>
          <w:rFonts w:hint="eastAsia" w:ascii="宋体" w:hAnsi="宋体" w:eastAsia="宋体" w:cs="宋体"/>
          <w:sz w:val="24"/>
          <w:szCs w:val="24"/>
          <w:highlight w:val="none"/>
          <w:u w:val="single"/>
          <w:lang w:val="en-US" w:eastAsia="zh-CN"/>
        </w:rPr>
        <w:t>500次/s</w:t>
      </w:r>
      <w:r>
        <w:rPr>
          <w:rFonts w:hint="eastAsia" w:ascii="宋体" w:hAnsi="宋体" w:eastAsia="宋体" w:cs="宋体"/>
          <w:sz w:val="24"/>
          <w:szCs w:val="24"/>
          <w:lang w:val="en-US" w:eastAsia="zh-CN"/>
        </w:rPr>
        <w:t>的压力测试，且应保证维护期间5年内的</w:t>
      </w:r>
      <w:r>
        <w:rPr>
          <w:rFonts w:hint="eastAsia" w:ascii="宋体" w:hAnsi="宋体" w:eastAsia="宋体" w:cs="宋体"/>
          <w:sz w:val="24"/>
          <w:szCs w:val="24"/>
          <w:highlight w:val="none"/>
        </w:rPr>
        <w:t>最大并发用户数</w:t>
      </w:r>
      <w:r>
        <w:rPr>
          <w:rFonts w:hint="eastAsia" w:ascii="宋体" w:hAnsi="宋体" w:eastAsia="宋体" w:cs="宋体"/>
          <w:sz w:val="24"/>
          <w:szCs w:val="24"/>
          <w:highlight w:val="none"/>
          <w:lang w:val="en-US" w:eastAsia="zh-CN"/>
        </w:rPr>
        <w:t>。</w:t>
      </w:r>
    </w:p>
    <w:p>
      <w:pPr>
        <w:numPr>
          <w:ilvl w:val="0"/>
          <w:numId w:val="26"/>
        </w:numPr>
        <w:spacing w:before="156"/>
        <w:ind w:left="478" w:leftChars="199" w:firstLine="480" w:firstLineChars="200"/>
        <w:outlineLvl w:val="0"/>
        <w:rPr>
          <w:rFonts w:hint="eastAsia" w:ascii="宋体" w:hAnsi="宋体" w:eastAsia="宋体" w:cs="宋体"/>
          <w:sz w:val="24"/>
          <w:szCs w:val="24"/>
        </w:rPr>
      </w:pPr>
      <w:r>
        <w:rPr>
          <w:rFonts w:hint="eastAsia" w:ascii="宋体" w:hAnsi="宋体" w:eastAsia="宋体" w:cs="宋体"/>
          <w:sz w:val="24"/>
          <w:szCs w:val="24"/>
        </w:rPr>
        <w:t>易存取性</w:t>
      </w:r>
    </w:p>
    <w:p>
      <w:pPr>
        <w:numPr>
          <w:ilvl w:val="0"/>
          <w:numId w:val="0"/>
        </w:numPr>
        <w:tabs>
          <w:tab w:val="left" w:pos="720"/>
        </w:tabs>
        <w:spacing w:before="156"/>
        <w:ind w:left="499" w:leftChars="208" w:firstLine="480" w:firstLineChars="200"/>
        <w:outlineLvl w:val="0"/>
        <w:rPr>
          <w:rFonts w:hint="eastAsia" w:ascii="宋体" w:hAnsi="宋体" w:eastAsia="宋体" w:cs="宋体"/>
          <w:sz w:val="24"/>
          <w:szCs w:val="24"/>
        </w:rPr>
      </w:pPr>
      <w:r>
        <w:rPr>
          <w:rFonts w:hint="eastAsia" w:ascii="宋体" w:hAnsi="宋体" w:eastAsia="宋体" w:cs="宋体"/>
          <w:sz w:val="24"/>
          <w:szCs w:val="24"/>
        </w:rPr>
        <w:t>对软件的存取权限设置清楚，存取操作方便，存取操作有记录。</w:t>
      </w:r>
    </w:p>
    <w:p>
      <w:pPr>
        <w:pStyle w:val="12"/>
        <w:numPr>
          <w:ilvl w:val="0"/>
          <w:numId w:val="23"/>
        </w:numPr>
        <w:spacing w:before="156"/>
        <w:ind w:left="480" w:leftChars="200" w:firstLine="482" w:firstLineChars="200"/>
        <w:jc w:val="left"/>
        <w:rPr>
          <w:rFonts w:hint="eastAsia" w:ascii="宋体" w:hAnsi="宋体" w:eastAsia="宋体" w:cs="宋体"/>
          <w:sz w:val="24"/>
          <w:szCs w:val="24"/>
        </w:rPr>
      </w:pPr>
      <w:r>
        <w:rPr>
          <w:rFonts w:hint="eastAsia" w:ascii="宋体" w:hAnsi="宋体" w:eastAsia="宋体" w:cs="宋体"/>
          <w:sz w:val="24"/>
          <w:szCs w:val="24"/>
        </w:rPr>
        <w:t>安全性质量指标</w:t>
      </w:r>
    </w:p>
    <w:p>
      <w:pPr>
        <w:numPr>
          <w:ilvl w:val="0"/>
          <w:numId w:val="27"/>
        </w:numPr>
        <w:spacing w:before="156"/>
        <w:ind w:left="480" w:leftChars="200" w:firstLine="480" w:firstLineChars="200"/>
        <w:outlineLvl w:val="0"/>
        <w:rPr>
          <w:rFonts w:hint="eastAsia" w:ascii="宋体" w:hAnsi="宋体" w:eastAsia="宋体" w:cs="宋体"/>
          <w:sz w:val="24"/>
          <w:szCs w:val="24"/>
        </w:rPr>
      </w:pPr>
      <w:r>
        <w:rPr>
          <w:rFonts w:hint="eastAsia" w:ascii="宋体" w:hAnsi="宋体" w:eastAsia="宋体" w:cs="宋体"/>
          <w:sz w:val="24"/>
          <w:szCs w:val="24"/>
        </w:rPr>
        <w:t>软件具有良好的安全管理，能防止不安全存取软件、防止数据丢失、防止病毒入侵对数据的破坏等。</w:t>
      </w:r>
    </w:p>
    <w:p>
      <w:pPr>
        <w:numPr>
          <w:ilvl w:val="0"/>
          <w:numId w:val="27"/>
        </w:numPr>
        <w:spacing w:before="156"/>
        <w:ind w:left="480" w:leftChars="200" w:firstLine="480" w:firstLineChars="200"/>
        <w:outlineLvl w:val="0"/>
        <w:rPr>
          <w:rFonts w:hint="eastAsia" w:ascii="宋体" w:hAnsi="宋体" w:eastAsia="宋体" w:cs="宋体"/>
          <w:sz w:val="24"/>
          <w:szCs w:val="24"/>
        </w:rPr>
      </w:pPr>
      <w:r>
        <w:rPr>
          <w:rFonts w:hint="eastAsia" w:ascii="宋体" w:hAnsi="宋体" w:eastAsia="宋体" w:cs="宋体"/>
          <w:sz w:val="24"/>
          <w:szCs w:val="24"/>
        </w:rPr>
        <w:t>软件具有良好的权限访问机制，未获授权无法使用软件及通过本软件获取数据。通过本软件所获取的数据、结果必须准确、合法、一致性。</w:t>
      </w:r>
    </w:p>
    <w:p>
      <w:pPr>
        <w:numPr>
          <w:ilvl w:val="0"/>
          <w:numId w:val="27"/>
        </w:numPr>
        <w:spacing w:before="156"/>
        <w:ind w:left="480" w:leftChars="200" w:firstLine="480" w:firstLineChars="200"/>
        <w:outlineLvl w:val="0"/>
        <w:rPr>
          <w:rFonts w:hint="eastAsia" w:ascii="宋体" w:hAnsi="宋体" w:eastAsia="宋体" w:cs="宋体"/>
          <w:sz w:val="24"/>
          <w:szCs w:val="24"/>
        </w:rPr>
      </w:pPr>
      <w:r>
        <w:rPr>
          <w:rFonts w:hint="eastAsia" w:ascii="宋体" w:hAnsi="宋体" w:eastAsia="宋体" w:cs="宋体"/>
          <w:sz w:val="24"/>
          <w:szCs w:val="24"/>
          <w:lang w:eastAsia="zh-CN"/>
        </w:rPr>
        <w:t>服务方</w:t>
      </w:r>
      <w:r>
        <w:rPr>
          <w:rFonts w:hint="eastAsia" w:ascii="宋体" w:hAnsi="宋体" w:eastAsia="宋体" w:cs="宋体"/>
          <w:sz w:val="24"/>
          <w:szCs w:val="24"/>
        </w:rPr>
        <w:t>需提供出完善、安全、经济的数据容灾解决方案，确保</w:t>
      </w:r>
      <w:r>
        <w:rPr>
          <w:rFonts w:hint="eastAsia" w:ascii="宋体" w:hAnsi="宋体" w:eastAsia="宋体" w:cs="宋体"/>
          <w:sz w:val="24"/>
          <w:szCs w:val="24"/>
          <w:lang w:eastAsia="zh-CN"/>
        </w:rPr>
        <w:t>院方</w:t>
      </w:r>
      <w:r>
        <w:rPr>
          <w:rFonts w:hint="eastAsia" w:ascii="宋体" w:hAnsi="宋体" w:eastAsia="宋体" w:cs="宋体"/>
          <w:sz w:val="24"/>
          <w:szCs w:val="24"/>
        </w:rPr>
        <w:t>的信息系统安全稳定的运行。</w:t>
      </w:r>
    </w:p>
    <w:p>
      <w:pPr>
        <w:numPr>
          <w:ilvl w:val="0"/>
          <w:numId w:val="27"/>
        </w:numPr>
        <w:spacing w:before="156"/>
        <w:ind w:left="480" w:leftChars="200"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按照</w:t>
      </w:r>
      <w:r>
        <w:rPr>
          <w:rFonts w:hint="eastAsia" w:ascii="宋体" w:hAnsi="宋体" w:eastAsia="宋体" w:cs="宋体"/>
          <w:sz w:val="24"/>
          <w:szCs w:val="24"/>
          <w:highlight w:val="none"/>
          <w:lang w:eastAsia="zh-CN"/>
        </w:rPr>
        <w:t>院方</w:t>
      </w:r>
      <w:r>
        <w:rPr>
          <w:rFonts w:hint="eastAsia" w:ascii="宋体" w:hAnsi="宋体" w:eastAsia="宋体" w:cs="宋体"/>
          <w:sz w:val="24"/>
          <w:szCs w:val="24"/>
          <w:highlight w:val="none"/>
        </w:rPr>
        <w:t>要求，软件需通过</w:t>
      </w:r>
      <w:r>
        <w:rPr>
          <w:rFonts w:hint="eastAsia" w:ascii="宋体" w:hAnsi="宋体" w:eastAsia="宋体" w:cs="宋体"/>
          <w:sz w:val="24"/>
          <w:szCs w:val="24"/>
          <w:highlight w:val="none"/>
          <w:lang w:eastAsia="zh-CN"/>
        </w:rPr>
        <w:t>院方</w:t>
      </w:r>
      <w:r>
        <w:rPr>
          <w:rFonts w:hint="eastAsia" w:ascii="宋体" w:hAnsi="宋体" w:eastAsia="宋体" w:cs="宋体"/>
          <w:sz w:val="24"/>
          <w:szCs w:val="24"/>
          <w:highlight w:val="none"/>
        </w:rPr>
        <w:t>信息部门组织的信息系统安全等级定级要求，</w:t>
      </w:r>
      <w:r>
        <w:rPr>
          <w:rFonts w:hint="eastAsia" w:ascii="宋体" w:hAnsi="宋体" w:eastAsia="宋体" w:cs="宋体"/>
          <w:sz w:val="24"/>
          <w:szCs w:val="24"/>
          <w:highlight w:val="none"/>
          <w:lang w:val="en-US" w:eastAsia="zh-CN"/>
        </w:rPr>
        <w:t>服务方需</w:t>
      </w:r>
      <w:r>
        <w:rPr>
          <w:rFonts w:hint="eastAsia" w:ascii="宋体" w:hAnsi="宋体" w:eastAsia="宋体" w:cs="宋体"/>
          <w:sz w:val="24"/>
          <w:szCs w:val="24"/>
          <w:highlight w:val="none"/>
        </w:rPr>
        <w:t>依据国家最新等级保护标准完成系统功能建设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上线前软件需通过</w:t>
      </w:r>
      <w:r>
        <w:rPr>
          <w:rFonts w:hint="eastAsia" w:ascii="宋体" w:hAnsi="宋体" w:eastAsia="宋体" w:cs="宋体"/>
          <w:sz w:val="24"/>
          <w:szCs w:val="24"/>
          <w:highlight w:val="none"/>
          <w:lang w:eastAsia="zh-CN"/>
        </w:rPr>
        <w:t>院方</w:t>
      </w:r>
      <w:r>
        <w:rPr>
          <w:rFonts w:hint="eastAsia" w:ascii="宋体" w:hAnsi="宋体" w:eastAsia="宋体" w:cs="宋体"/>
          <w:sz w:val="24"/>
          <w:szCs w:val="24"/>
          <w:highlight w:val="none"/>
        </w:rPr>
        <w:t>信息部门组织的安全测评、漏洞扫描、渗透测试等安全检查，</w:t>
      </w:r>
      <w:r>
        <w:rPr>
          <w:rFonts w:hint="eastAsia" w:ascii="宋体" w:hAnsi="宋体" w:eastAsia="宋体" w:cs="宋体"/>
          <w:sz w:val="24"/>
          <w:szCs w:val="24"/>
          <w:highlight w:val="none"/>
          <w:lang w:val="en-US" w:eastAsia="zh-CN"/>
        </w:rPr>
        <w:t>服务方</w:t>
      </w:r>
      <w:r>
        <w:rPr>
          <w:rFonts w:hint="eastAsia" w:ascii="宋体" w:hAnsi="宋体" w:eastAsia="宋体" w:cs="宋体"/>
          <w:sz w:val="24"/>
          <w:szCs w:val="24"/>
          <w:highlight w:val="none"/>
        </w:rPr>
        <w:t>根据检测结果对安全漏洞进行整改。</w:t>
      </w:r>
    </w:p>
    <w:p>
      <w:pPr>
        <w:pStyle w:val="12"/>
        <w:numPr>
          <w:ilvl w:val="0"/>
          <w:numId w:val="23"/>
        </w:numPr>
        <w:spacing w:before="156"/>
        <w:ind w:left="480" w:leftChars="200" w:firstLine="482"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实施人员要求</w:t>
      </w:r>
    </w:p>
    <w:p>
      <w:pPr>
        <w:numPr>
          <w:ilvl w:val="0"/>
          <w:numId w:val="0"/>
        </w:numPr>
        <w:spacing w:before="156"/>
        <w:ind w:left="420" w:leftChars="0" w:firstLine="420" w:firstLineChars="0"/>
        <w:outlineLvl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团队人员要求具备两年或两年以上的系统开发或维护工作经验，能较快处理系统在运行中的故障问题。</w:t>
      </w:r>
      <w:r>
        <w:rPr>
          <w:rFonts w:hint="eastAsia" w:cs="宋体"/>
          <w:sz w:val="24"/>
          <w:szCs w:val="24"/>
          <w:highlight w:val="none"/>
          <w:lang w:val="en-US" w:eastAsia="zh-CN"/>
        </w:rPr>
        <w:t>服务方</w:t>
      </w:r>
      <w:r>
        <w:rPr>
          <w:rFonts w:hint="eastAsia" w:ascii="宋体" w:hAnsi="宋体" w:eastAsia="宋体" w:cs="宋体"/>
          <w:sz w:val="24"/>
          <w:szCs w:val="24"/>
          <w:highlight w:val="none"/>
          <w:lang w:eastAsia="zh-CN"/>
        </w:rPr>
        <w:t>提供驻场运维人员素质达不到</w:t>
      </w:r>
      <w:r>
        <w:rPr>
          <w:rFonts w:hint="eastAsia" w:cs="宋体"/>
          <w:sz w:val="24"/>
          <w:szCs w:val="24"/>
          <w:highlight w:val="none"/>
          <w:lang w:eastAsia="zh-CN"/>
        </w:rPr>
        <w:t>院方</w:t>
      </w:r>
      <w:r>
        <w:rPr>
          <w:rFonts w:hint="eastAsia" w:ascii="宋体" w:hAnsi="宋体" w:eastAsia="宋体" w:cs="宋体"/>
          <w:sz w:val="24"/>
          <w:szCs w:val="24"/>
          <w:highlight w:val="none"/>
          <w:lang w:eastAsia="zh-CN"/>
        </w:rPr>
        <w:t>工作要求时，应及时在1个月内安排更换。驻场服务人员服务时间：正常工作日早上8:00—下午18:00。</w:t>
      </w:r>
    </w:p>
    <w:p>
      <w:pPr>
        <w:rPr>
          <w:rFonts w:hint="eastAsia" w:ascii="宋体" w:hAnsi="宋体" w:eastAsia="宋体" w:cs="宋体"/>
        </w:rPr>
      </w:pPr>
    </w:p>
    <w:p>
      <w:pPr>
        <w:pStyle w:val="3"/>
        <w:numPr>
          <w:ilvl w:val="0"/>
          <w:numId w:val="0"/>
        </w:numPr>
        <w:ind w:leftChars="0"/>
        <w:rPr>
          <w:rFonts w:hint="eastAsia" w:ascii="宋体" w:hAnsi="宋体" w:eastAsia="宋体" w:cs="宋体"/>
          <w:lang w:eastAsia="zh-CN"/>
        </w:rPr>
      </w:pPr>
      <w:r>
        <w:rPr>
          <w:rFonts w:hint="eastAsia" w:cs="宋体"/>
          <w:lang w:val="en-US" w:eastAsia="zh-CN"/>
        </w:rPr>
        <w:t>五、</w:t>
      </w:r>
      <w:r>
        <w:rPr>
          <w:rFonts w:hint="eastAsia" w:ascii="宋体" w:hAnsi="宋体" w:eastAsia="宋体" w:cs="宋体"/>
          <w:lang w:eastAsia="zh-CN"/>
        </w:rPr>
        <w:t>保修要求</w:t>
      </w:r>
    </w:p>
    <w:p>
      <w:pPr>
        <w:pStyle w:val="12"/>
        <w:numPr>
          <w:ilvl w:val="0"/>
          <w:numId w:val="28"/>
        </w:numPr>
        <w:tabs>
          <w:tab w:val="left" w:pos="420"/>
        </w:tabs>
        <w:spacing w:before="156"/>
        <w:ind w:left="480" w:leftChars="200" w:firstLine="482" w:firstLineChars="200"/>
        <w:jc w:val="left"/>
        <w:rPr>
          <w:rFonts w:hint="eastAsia" w:ascii="宋体" w:hAnsi="宋体" w:eastAsia="宋体" w:cs="宋体"/>
          <w:sz w:val="24"/>
          <w:szCs w:val="24"/>
        </w:rPr>
      </w:pPr>
      <w:r>
        <w:rPr>
          <w:rFonts w:hint="eastAsia" w:ascii="宋体" w:hAnsi="宋体" w:eastAsia="宋体" w:cs="宋体"/>
          <w:sz w:val="24"/>
          <w:szCs w:val="24"/>
        </w:rPr>
        <w:t>应用软件免费维护期从合同标的验收合格之日算起，期限为</w:t>
      </w:r>
      <w:r>
        <w:rPr>
          <w:rFonts w:hint="eastAsia" w:ascii="宋体" w:hAnsi="宋体" w:eastAsia="宋体" w:cs="宋体"/>
          <w:sz w:val="24"/>
          <w:szCs w:val="24"/>
          <w:u w:val="single"/>
          <w:lang w:val="en-US" w:eastAsia="zh-CN"/>
        </w:rPr>
        <w:t>24</w:t>
      </w:r>
      <w:r>
        <w:rPr>
          <w:rFonts w:hint="eastAsia" w:ascii="宋体" w:hAnsi="宋体" w:eastAsia="宋体" w:cs="宋体"/>
          <w:sz w:val="24"/>
          <w:szCs w:val="24"/>
        </w:rPr>
        <w:t>个月。</w:t>
      </w:r>
    </w:p>
    <w:p>
      <w:pPr>
        <w:spacing w:before="156"/>
        <w:ind w:left="480" w:leftChars="200" w:firstLine="480" w:firstLineChars="200"/>
        <w:rPr>
          <w:rFonts w:hint="eastAsia" w:ascii="宋体" w:hAnsi="宋体" w:eastAsia="宋体" w:cs="宋体"/>
          <w:sz w:val="24"/>
        </w:rPr>
      </w:pPr>
      <w:r>
        <w:rPr>
          <w:rFonts w:hint="eastAsia" w:ascii="宋体" w:hAnsi="宋体" w:eastAsia="宋体" w:cs="宋体"/>
          <w:sz w:val="24"/>
        </w:rPr>
        <w:t>在免费维护期结束前，须由</w:t>
      </w:r>
      <w:r>
        <w:rPr>
          <w:rFonts w:hint="eastAsia" w:ascii="宋体" w:hAnsi="宋体" w:eastAsia="宋体" w:cs="宋体"/>
          <w:sz w:val="24"/>
          <w:lang w:eastAsia="zh-CN"/>
        </w:rPr>
        <w:t>服务方</w:t>
      </w:r>
      <w:r>
        <w:rPr>
          <w:rFonts w:hint="eastAsia" w:ascii="宋体" w:hAnsi="宋体" w:eastAsia="宋体" w:cs="宋体"/>
          <w:sz w:val="24"/>
        </w:rPr>
        <w:t>和</w:t>
      </w:r>
      <w:r>
        <w:rPr>
          <w:rFonts w:hint="eastAsia" w:ascii="宋体" w:hAnsi="宋体" w:eastAsia="宋体" w:cs="宋体"/>
          <w:sz w:val="24"/>
          <w:lang w:eastAsia="zh-CN"/>
        </w:rPr>
        <w:t>院方</w:t>
      </w:r>
      <w:r>
        <w:rPr>
          <w:rFonts w:hint="eastAsia" w:ascii="宋体" w:hAnsi="宋体" w:eastAsia="宋体" w:cs="宋体"/>
          <w:sz w:val="24"/>
        </w:rPr>
        <w:t>进行一次全面检查，任何缺陷必须由</w:t>
      </w:r>
      <w:r>
        <w:rPr>
          <w:rFonts w:hint="eastAsia" w:ascii="宋体" w:hAnsi="宋体" w:eastAsia="宋体" w:cs="宋体"/>
          <w:sz w:val="24"/>
          <w:lang w:eastAsia="zh-CN"/>
        </w:rPr>
        <w:t>服务方</w:t>
      </w:r>
      <w:r>
        <w:rPr>
          <w:rFonts w:hint="eastAsia" w:ascii="宋体" w:hAnsi="宋体" w:eastAsia="宋体" w:cs="宋体"/>
          <w:sz w:val="24"/>
        </w:rPr>
        <w:t>负责修复，在修复之后，</w:t>
      </w:r>
      <w:r>
        <w:rPr>
          <w:rFonts w:hint="eastAsia" w:ascii="宋体" w:hAnsi="宋体" w:eastAsia="宋体" w:cs="宋体"/>
          <w:sz w:val="24"/>
          <w:lang w:eastAsia="zh-CN"/>
        </w:rPr>
        <w:t>服务方</w:t>
      </w:r>
      <w:r>
        <w:rPr>
          <w:rFonts w:hint="eastAsia" w:ascii="宋体" w:hAnsi="宋体" w:eastAsia="宋体" w:cs="宋体"/>
          <w:sz w:val="24"/>
        </w:rPr>
        <w:t>应将缺陷原因、修复内容、完成修理及恢复正常的时间和日期等报告给</w:t>
      </w:r>
      <w:r>
        <w:rPr>
          <w:rFonts w:hint="eastAsia" w:ascii="宋体" w:hAnsi="宋体" w:eastAsia="宋体" w:cs="宋体"/>
          <w:sz w:val="24"/>
          <w:lang w:eastAsia="zh-CN"/>
        </w:rPr>
        <w:t>院方</w:t>
      </w:r>
      <w:r>
        <w:rPr>
          <w:rFonts w:hint="eastAsia" w:ascii="宋体" w:hAnsi="宋体" w:eastAsia="宋体" w:cs="宋体"/>
          <w:sz w:val="24"/>
        </w:rPr>
        <w:t>，形成项目总结报告（一式两份）。</w:t>
      </w:r>
    </w:p>
    <w:p>
      <w:pPr>
        <w:pStyle w:val="12"/>
        <w:numPr>
          <w:ilvl w:val="0"/>
          <w:numId w:val="28"/>
        </w:numPr>
        <w:tabs>
          <w:tab w:val="left" w:pos="420"/>
        </w:tabs>
        <w:spacing w:before="156"/>
        <w:ind w:left="480" w:leftChars="200" w:firstLine="482" w:firstLineChars="200"/>
        <w:jc w:val="left"/>
        <w:rPr>
          <w:rFonts w:hint="eastAsia" w:ascii="宋体" w:hAnsi="宋体" w:eastAsia="宋体" w:cs="宋体"/>
          <w:sz w:val="24"/>
          <w:szCs w:val="24"/>
        </w:rPr>
      </w:pPr>
      <w:r>
        <w:rPr>
          <w:rFonts w:hint="eastAsia" w:ascii="宋体" w:hAnsi="宋体" w:eastAsia="宋体" w:cs="宋体"/>
          <w:sz w:val="24"/>
          <w:szCs w:val="24"/>
        </w:rPr>
        <w:t>系统本地化开发</w:t>
      </w:r>
    </w:p>
    <w:p>
      <w:pPr>
        <w:numPr>
          <w:ilvl w:val="0"/>
          <w:numId w:val="29"/>
        </w:numPr>
        <w:spacing w:before="156"/>
        <w:ind w:left="420" w:firstLine="480" w:firstLineChars="200"/>
        <w:rPr>
          <w:rFonts w:hint="eastAsia" w:ascii="宋体" w:hAnsi="宋体" w:eastAsia="宋体" w:cs="宋体"/>
          <w:sz w:val="24"/>
          <w:szCs w:val="24"/>
        </w:rPr>
      </w:pPr>
      <w:r>
        <w:rPr>
          <w:rFonts w:hint="eastAsia" w:ascii="宋体" w:hAnsi="宋体" w:eastAsia="宋体" w:cs="宋体"/>
          <w:sz w:val="24"/>
          <w:szCs w:val="24"/>
        </w:rPr>
        <w:t>软件升级：</w:t>
      </w:r>
      <w:r>
        <w:rPr>
          <w:rFonts w:hint="eastAsia" w:ascii="宋体" w:hAnsi="宋体" w:eastAsia="宋体" w:cs="宋体"/>
          <w:sz w:val="24"/>
          <w:szCs w:val="24"/>
          <w:lang w:eastAsia="zh-CN"/>
        </w:rPr>
        <w:t>服务方</w:t>
      </w:r>
      <w:r>
        <w:rPr>
          <w:rFonts w:hint="eastAsia" w:ascii="宋体" w:hAnsi="宋体" w:eastAsia="宋体" w:cs="宋体"/>
          <w:sz w:val="24"/>
          <w:szCs w:val="24"/>
        </w:rPr>
        <w:t>出于对软件不断改进开发的新版本，在免费维护期内提供免费软件实施及培训等相关升级服务，</w:t>
      </w:r>
      <w:r>
        <w:rPr>
          <w:rFonts w:hint="eastAsia" w:ascii="宋体" w:hAnsi="宋体" w:eastAsia="宋体" w:cs="宋体"/>
          <w:sz w:val="24"/>
          <w:szCs w:val="24"/>
          <w:lang w:eastAsia="zh-CN"/>
        </w:rPr>
        <w:t>服务方</w:t>
      </w:r>
      <w:r>
        <w:rPr>
          <w:rFonts w:hint="eastAsia" w:ascii="宋体" w:hAnsi="宋体" w:eastAsia="宋体" w:cs="宋体"/>
          <w:sz w:val="24"/>
          <w:szCs w:val="24"/>
        </w:rPr>
        <w:t>保证在发布新版本系统后1个月内，完成在</w:t>
      </w:r>
      <w:r>
        <w:rPr>
          <w:rFonts w:hint="eastAsia" w:ascii="宋体" w:hAnsi="宋体" w:eastAsia="宋体" w:cs="宋体"/>
          <w:sz w:val="24"/>
          <w:szCs w:val="24"/>
          <w:lang w:eastAsia="zh-CN"/>
        </w:rPr>
        <w:t>院方</w:t>
      </w:r>
      <w:r>
        <w:rPr>
          <w:rFonts w:hint="eastAsia" w:ascii="宋体" w:hAnsi="宋体" w:eastAsia="宋体" w:cs="宋体"/>
          <w:sz w:val="24"/>
          <w:szCs w:val="24"/>
        </w:rPr>
        <w:t>的升级，保证用户使用公司最新版本软件程序。</w:t>
      </w:r>
      <w:r>
        <w:rPr>
          <w:rFonts w:hint="eastAsia" w:ascii="宋体" w:hAnsi="宋体" w:eastAsia="宋体" w:cs="宋体"/>
          <w:sz w:val="24"/>
          <w:szCs w:val="24"/>
          <w:lang w:eastAsia="zh-CN"/>
        </w:rPr>
        <w:t>服务方</w:t>
      </w:r>
      <w:r>
        <w:rPr>
          <w:rFonts w:hint="eastAsia" w:ascii="宋体" w:hAnsi="宋体" w:eastAsia="宋体" w:cs="宋体"/>
          <w:sz w:val="24"/>
          <w:szCs w:val="24"/>
        </w:rPr>
        <w:t>定期对提交给</w:t>
      </w:r>
      <w:r>
        <w:rPr>
          <w:rFonts w:hint="eastAsia" w:ascii="宋体" w:hAnsi="宋体" w:eastAsia="宋体" w:cs="宋体"/>
          <w:sz w:val="24"/>
          <w:szCs w:val="24"/>
          <w:lang w:eastAsia="zh-CN"/>
        </w:rPr>
        <w:t>院方</w:t>
      </w:r>
      <w:r>
        <w:rPr>
          <w:rFonts w:hint="eastAsia" w:ascii="宋体" w:hAnsi="宋体" w:eastAsia="宋体" w:cs="宋体"/>
          <w:sz w:val="24"/>
          <w:szCs w:val="24"/>
        </w:rPr>
        <w:t>的版本进行管理，至少半年提交新版源代码并提交相关说明文档。</w:t>
      </w:r>
    </w:p>
    <w:p>
      <w:pPr>
        <w:numPr>
          <w:ilvl w:val="0"/>
          <w:numId w:val="29"/>
        </w:numPr>
        <w:spacing w:before="156"/>
        <w:ind w:left="420" w:firstLine="480" w:firstLineChars="200"/>
        <w:rPr>
          <w:rFonts w:hint="eastAsia" w:ascii="宋体" w:hAnsi="宋体" w:eastAsia="宋体" w:cs="宋体"/>
          <w:sz w:val="24"/>
          <w:szCs w:val="24"/>
        </w:rPr>
      </w:pPr>
      <w:r>
        <w:rPr>
          <w:rFonts w:hint="eastAsia" w:ascii="宋体" w:hAnsi="宋体" w:eastAsia="宋体" w:cs="宋体"/>
          <w:sz w:val="24"/>
          <w:szCs w:val="24"/>
        </w:rPr>
        <w:t>功能改进：在不超出本项目功能模块范围内的本地化功能改进需求，</w:t>
      </w:r>
      <w:r>
        <w:rPr>
          <w:rFonts w:hint="eastAsia" w:ascii="宋体" w:hAnsi="宋体" w:eastAsia="宋体" w:cs="宋体"/>
          <w:sz w:val="24"/>
          <w:szCs w:val="24"/>
          <w:lang w:eastAsia="zh-CN"/>
        </w:rPr>
        <w:t>服务方</w:t>
      </w:r>
      <w:r>
        <w:rPr>
          <w:rFonts w:hint="eastAsia" w:ascii="宋体" w:hAnsi="宋体" w:eastAsia="宋体" w:cs="宋体"/>
          <w:sz w:val="24"/>
          <w:szCs w:val="24"/>
        </w:rPr>
        <w:t>须根据</w:t>
      </w:r>
      <w:r>
        <w:rPr>
          <w:rFonts w:hint="eastAsia" w:ascii="宋体" w:hAnsi="宋体" w:eastAsia="宋体" w:cs="宋体"/>
          <w:sz w:val="24"/>
          <w:szCs w:val="24"/>
          <w:lang w:eastAsia="zh-CN"/>
        </w:rPr>
        <w:t>院方</w:t>
      </w:r>
      <w:r>
        <w:rPr>
          <w:rFonts w:hint="eastAsia" w:ascii="宋体" w:hAnsi="宋体" w:eastAsia="宋体" w:cs="宋体"/>
          <w:sz w:val="24"/>
          <w:szCs w:val="24"/>
        </w:rPr>
        <w:t>要求按时完成。</w:t>
      </w:r>
    </w:p>
    <w:p>
      <w:pPr>
        <w:numPr>
          <w:ilvl w:val="0"/>
          <w:numId w:val="29"/>
        </w:numPr>
        <w:spacing w:before="156"/>
        <w:ind w:left="420" w:firstLine="480" w:firstLineChars="200"/>
        <w:rPr>
          <w:rFonts w:hint="eastAsia" w:ascii="宋体" w:hAnsi="宋体" w:eastAsia="宋体" w:cs="宋体"/>
          <w:sz w:val="24"/>
          <w:szCs w:val="24"/>
        </w:rPr>
      </w:pPr>
      <w:r>
        <w:rPr>
          <w:rFonts w:hint="eastAsia" w:ascii="宋体" w:hAnsi="宋体" w:eastAsia="宋体" w:cs="宋体"/>
          <w:sz w:val="24"/>
          <w:szCs w:val="24"/>
        </w:rPr>
        <w:t>系统接口：提供对第三方开放系统数据接口，免费维护期内增加接口不再收取任何费用；自</w:t>
      </w:r>
      <w:r>
        <w:rPr>
          <w:rFonts w:hint="eastAsia" w:ascii="宋体" w:hAnsi="宋体" w:eastAsia="宋体" w:cs="宋体"/>
          <w:sz w:val="24"/>
          <w:szCs w:val="24"/>
          <w:lang w:eastAsia="zh-CN"/>
        </w:rPr>
        <w:t>院方</w:t>
      </w:r>
      <w:r>
        <w:rPr>
          <w:rFonts w:hint="eastAsia" w:ascii="宋体" w:hAnsi="宋体" w:eastAsia="宋体" w:cs="宋体"/>
          <w:sz w:val="24"/>
          <w:szCs w:val="24"/>
        </w:rPr>
        <w:t>提出需求到验收通过最长不可超过3个月。</w:t>
      </w:r>
    </w:p>
    <w:p>
      <w:pPr>
        <w:numPr>
          <w:ilvl w:val="0"/>
          <w:numId w:val="29"/>
        </w:numPr>
        <w:spacing w:before="156"/>
        <w:ind w:left="420" w:firstLine="480" w:firstLineChars="200"/>
        <w:rPr>
          <w:rFonts w:hint="eastAsia" w:ascii="宋体" w:hAnsi="宋体" w:eastAsia="宋体" w:cs="宋体"/>
          <w:sz w:val="24"/>
          <w:szCs w:val="24"/>
        </w:rPr>
      </w:pPr>
      <w:r>
        <w:rPr>
          <w:rFonts w:hint="eastAsia" w:ascii="宋体" w:hAnsi="宋体" w:eastAsia="宋体" w:cs="宋体"/>
          <w:sz w:val="24"/>
          <w:szCs w:val="24"/>
        </w:rPr>
        <w:t>以上情况由</w:t>
      </w:r>
      <w:r>
        <w:rPr>
          <w:rFonts w:hint="eastAsia" w:ascii="宋体" w:hAnsi="宋体" w:eastAsia="宋体" w:cs="宋体"/>
          <w:sz w:val="24"/>
          <w:szCs w:val="24"/>
          <w:lang w:eastAsia="zh-CN"/>
        </w:rPr>
        <w:t>院方</w:t>
      </w:r>
      <w:r>
        <w:rPr>
          <w:rFonts w:hint="eastAsia" w:ascii="宋体" w:hAnsi="宋体" w:eastAsia="宋体" w:cs="宋体"/>
          <w:sz w:val="24"/>
          <w:szCs w:val="24"/>
        </w:rPr>
        <w:t>向</w:t>
      </w:r>
      <w:r>
        <w:rPr>
          <w:rFonts w:hint="eastAsia" w:ascii="宋体" w:hAnsi="宋体" w:eastAsia="宋体" w:cs="宋体"/>
          <w:sz w:val="24"/>
          <w:szCs w:val="24"/>
          <w:lang w:eastAsia="zh-CN"/>
        </w:rPr>
        <w:t>服务方</w:t>
      </w:r>
      <w:r>
        <w:rPr>
          <w:rFonts w:hint="eastAsia" w:ascii="宋体" w:hAnsi="宋体" w:eastAsia="宋体" w:cs="宋体"/>
          <w:sz w:val="24"/>
          <w:szCs w:val="24"/>
        </w:rPr>
        <w:t>提出需求申请后，</w:t>
      </w:r>
      <w:r>
        <w:rPr>
          <w:rFonts w:hint="eastAsia" w:ascii="宋体" w:hAnsi="宋体" w:eastAsia="宋体" w:cs="宋体"/>
          <w:sz w:val="24"/>
          <w:szCs w:val="24"/>
          <w:lang w:eastAsia="zh-CN"/>
        </w:rPr>
        <w:t>服务方</w:t>
      </w:r>
      <w:r>
        <w:rPr>
          <w:rFonts w:hint="eastAsia" w:ascii="宋体" w:hAnsi="宋体" w:eastAsia="宋体" w:cs="宋体"/>
          <w:sz w:val="24"/>
          <w:szCs w:val="24"/>
        </w:rPr>
        <w:t>应按</w:t>
      </w:r>
      <w:r>
        <w:rPr>
          <w:rFonts w:hint="eastAsia" w:ascii="宋体" w:hAnsi="宋体" w:eastAsia="宋体" w:cs="宋体"/>
          <w:sz w:val="24"/>
          <w:szCs w:val="24"/>
          <w:lang w:eastAsia="zh-CN"/>
        </w:rPr>
        <w:t>院方</w:t>
      </w:r>
      <w:r>
        <w:rPr>
          <w:rFonts w:hint="eastAsia" w:ascii="宋体" w:hAnsi="宋体" w:eastAsia="宋体" w:cs="宋体"/>
          <w:sz w:val="24"/>
          <w:szCs w:val="24"/>
        </w:rPr>
        <w:t>要求满足业务的连续性以及政策性要求，在与</w:t>
      </w:r>
      <w:r>
        <w:rPr>
          <w:rFonts w:hint="eastAsia" w:ascii="宋体" w:hAnsi="宋体" w:eastAsia="宋体" w:cs="宋体"/>
          <w:sz w:val="24"/>
          <w:szCs w:val="24"/>
          <w:lang w:eastAsia="zh-CN"/>
        </w:rPr>
        <w:t>院方</w:t>
      </w:r>
      <w:r>
        <w:rPr>
          <w:rFonts w:hint="eastAsia" w:ascii="宋体" w:hAnsi="宋体" w:eastAsia="宋体" w:cs="宋体"/>
          <w:sz w:val="24"/>
          <w:szCs w:val="24"/>
        </w:rPr>
        <w:t>充分沟通协商一致后拟定工作计划并按计划执行。如</w:t>
      </w:r>
      <w:r>
        <w:rPr>
          <w:rFonts w:hint="eastAsia" w:ascii="宋体" w:hAnsi="宋体" w:eastAsia="宋体" w:cs="宋体"/>
          <w:sz w:val="24"/>
          <w:szCs w:val="24"/>
          <w:lang w:eastAsia="zh-CN"/>
        </w:rPr>
        <w:t>服务方</w:t>
      </w:r>
      <w:r>
        <w:rPr>
          <w:rFonts w:hint="eastAsia" w:ascii="宋体" w:hAnsi="宋体" w:eastAsia="宋体" w:cs="宋体"/>
          <w:sz w:val="24"/>
          <w:szCs w:val="24"/>
        </w:rPr>
        <w:t>未按照约定计划拖延时间或不按计划执行则属违约，需承担响应违约责任并赔偿</w:t>
      </w:r>
      <w:r>
        <w:rPr>
          <w:rFonts w:hint="eastAsia" w:ascii="宋体" w:hAnsi="宋体" w:eastAsia="宋体" w:cs="宋体"/>
          <w:sz w:val="24"/>
          <w:szCs w:val="24"/>
          <w:lang w:eastAsia="zh-CN"/>
        </w:rPr>
        <w:t>院方</w:t>
      </w:r>
      <w:r>
        <w:rPr>
          <w:rFonts w:hint="eastAsia" w:ascii="宋体" w:hAnsi="宋体" w:eastAsia="宋体" w:cs="宋体"/>
          <w:sz w:val="24"/>
          <w:szCs w:val="24"/>
        </w:rPr>
        <w:t>因此造成的损失。</w:t>
      </w:r>
    </w:p>
    <w:p>
      <w:pPr>
        <w:pStyle w:val="12"/>
        <w:numPr>
          <w:ilvl w:val="0"/>
          <w:numId w:val="28"/>
        </w:numPr>
        <w:tabs>
          <w:tab w:val="left" w:pos="420"/>
        </w:tabs>
        <w:spacing w:before="156"/>
        <w:ind w:left="480" w:leftChars="200" w:firstLine="482" w:firstLineChars="200"/>
        <w:jc w:val="left"/>
        <w:rPr>
          <w:rFonts w:hint="eastAsia" w:ascii="宋体" w:hAnsi="宋体" w:eastAsia="宋体" w:cs="宋体"/>
          <w:sz w:val="24"/>
          <w:szCs w:val="24"/>
        </w:rPr>
      </w:pPr>
      <w:r>
        <w:rPr>
          <w:rFonts w:hint="eastAsia" w:ascii="宋体" w:hAnsi="宋体" w:eastAsia="宋体" w:cs="宋体"/>
          <w:sz w:val="24"/>
          <w:szCs w:val="24"/>
        </w:rPr>
        <w:t>培训</w:t>
      </w:r>
    </w:p>
    <w:p>
      <w:pPr>
        <w:spacing w:before="156"/>
        <w:ind w:left="480" w:leftChars="200" w:firstLine="480" w:firstLineChars="200"/>
        <w:rPr>
          <w:rFonts w:hint="eastAsia" w:ascii="宋体" w:hAnsi="宋体" w:eastAsia="宋体" w:cs="宋体"/>
          <w:sz w:val="24"/>
        </w:rPr>
      </w:pPr>
      <w:r>
        <w:rPr>
          <w:rFonts w:hint="eastAsia" w:ascii="宋体" w:hAnsi="宋体" w:eastAsia="宋体" w:cs="宋体"/>
          <w:sz w:val="24"/>
          <w:lang w:eastAsia="zh-CN"/>
        </w:rPr>
        <w:t>服务方</w:t>
      </w:r>
      <w:r>
        <w:rPr>
          <w:rFonts w:hint="eastAsia" w:ascii="宋体" w:hAnsi="宋体" w:eastAsia="宋体" w:cs="宋体"/>
          <w:sz w:val="24"/>
        </w:rPr>
        <w:t>应为</w:t>
      </w:r>
      <w:r>
        <w:rPr>
          <w:rFonts w:hint="eastAsia" w:ascii="宋体" w:hAnsi="宋体" w:eastAsia="宋体" w:cs="宋体"/>
          <w:sz w:val="24"/>
          <w:lang w:eastAsia="zh-CN"/>
        </w:rPr>
        <w:t>院方</w:t>
      </w:r>
      <w:r>
        <w:rPr>
          <w:rFonts w:hint="eastAsia" w:ascii="宋体" w:hAnsi="宋体" w:eastAsia="宋体" w:cs="宋体"/>
          <w:sz w:val="24"/>
        </w:rPr>
        <w:t>进行培训，包括使用培训和维护培训。</w:t>
      </w:r>
    </w:p>
    <w:p>
      <w:pPr>
        <w:spacing w:before="156"/>
        <w:ind w:left="480" w:leftChars="200" w:firstLine="480" w:firstLineChars="200"/>
        <w:rPr>
          <w:rFonts w:hint="eastAsia" w:ascii="宋体" w:hAnsi="宋体" w:eastAsia="宋体" w:cs="宋体"/>
          <w:sz w:val="24"/>
        </w:rPr>
      </w:pPr>
      <w:r>
        <w:rPr>
          <w:rFonts w:hint="eastAsia" w:ascii="宋体" w:hAnsi="宋体" w:eastAsia="宋体" w:cs="宋体"/>
          <w:sz w:val="24"/>
          <w:szCs w:val="21"/>
          <w:lang w:eastAsia="zh-CN"/>
        </w:rPr>
        <w:t>服务方</w:t>
      </w:r>
      <w:r>
        <w:rPr>
          <w:rFonts w:hint="eastAsia" w:ascii="宋体" w:hAnsi="宋体" w:eastAsia="宋体" w:cs="宋体"/>
          <w:sz w:val="24"/>
          <w:szCs w:val="21"/>
        </w:rPr>
        <w:t>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pStyle w:val="12"/>
        <w:numPr>
          <w:ilvl w:val="0"/>
          <w:numId w:val="28"/>
        </w:numPr>
        <w:tabs>
          <w:tab w:val="left" w:pos="420"/>
        </w:tabs>
        <w:spacing w:before="156"/>
        <w:ind w:left="480" w:leftChars="200" w:firstLine="482" w:firstLineChars="200"/>
        <w:jc w:val="left"/>
        <w:rPr>
          <w:rFonts w:hint="eastAsia" w:ascii="宋体" w:hAnsi="宋体" w:eastAsia="宋体" w:cs="宋体"/>
          <w:sz w:val="24"/>
          <w:szCs w:val="24"/>
        </w:rPr>
      </w:pPr>
      <w:r>
        <w:rPr>
          <w:rFonts w:hint="eastAsia" w:ascii="宋体" w:hAnsi="宋体" w:eastAsia="宋体" w:cs="宋体"/>
          <w:sz w:val="24"/>
          <w:szCs w:val="24"/>
        </w:rPr>
        <w:t>技术支持服务</w:t>
      </w:r>
    </w:p>
    <w:p>
      <w:pPr>
        <w:numPr>
          <w:ilvl w:val="0"/>
          <w:numId w:val="30"/>
        </w:numPr>
        <w:spacing w:before="156"/>
        <w:ind w:left="425" w:firstLine="480" w:firstLineChars="200"/>
        <w:rPr>
          <w:rFonts w:hint="eastAsia" w:ascii="宋体" w:hAnsi="宋体" w:eastAsia="宋体" w:cs="宋体"/>
          <w:sz w:val="24"/>
        </w:rPr>
      </w:pPr>
      <w:r>
        <w:rPr>
          <w:rFonts w:hint="eastAsia" w:ascii="宋体" w:hAnsi="宋体" w:eastAsia="宋体" w:cs="宋体"/>
          <w:sz w:val="24"/>
        </w:rPr>
        <w:t>在免费维护期内，</w:t>
      </w:r>
      <w:r>
        <w:rPr>
          <w:rFonts w:hint="eastAsia" w:ascii="宋体" w:hAnsi="宋体" w:eastAsia="宋体" w:cs="宋体"/>
          <w:sz w:val="24"/>
          <w:lang w:eastAsia="zh-CN"/>
        </w:rPr>
        <w:t>服务方</w:t>
      </w:r>
      <w:r>
        <w:rPr>
          <w:rFonts w:hint="eastAsia" w:ascii="宋体" w:hAnsi="宋体" w:eastAsia="宋体" w:cs="宋体"/>
          <w:sz w:val="24"/>
        </w:rPr>
        <w:t>提供技术支持和指导，以及软件的局部改进完善以及故障情况下的现场问题解决。</w:t>
      </w:r>
    </w:p>
    <w:p>
      <w:pPr>
        <w:numPr>
          <w:ilvl w:val="0"/>
          <w:numId w:val="30"/>
        </w:numPr>
        <w:spacing w:before="156"/>
        <w:ind w:left="425" w:firstLine="480" w:firstLineChars="200"/>
        <w:rPr>
          <w:rFonts w:hint="eastAsia" w:ascii="宋体" w:hAnsi="宋体" w:eastAsia="宋体" w:cs="宋体"/>
          <w:sz w:val="24"/>
        </w:rPr>
      </w:pPr>
      <w:r>
        <w:rPr>
          <w:rFonts w:hint="eastAsia" w:ascii="宋体" w:hAnsi="宋体" w:eastAsia="宋体" w:cs="宋体"/>
          <w:sz w:val="24"/>
          <w:lang w:eastAsia="zh-CN"/>
        </w:rPr>
        <w:t>服务方</w:t>
      </w:r>
      <w:r>
        <w:rPr>
          <w:rFonts w:hint="eastAsia" w:ascii="宋体" w:hAnsi="宋体" w:eastAsia="宋体" w:cs="宋体"/>
          <w:sz w:val="24"/>
        </w:rPr>
        <w:t>7*24小时服务热线，安排合格的技术工程师提供技术热线。</w:t>
      </w:r>
    </w:p>
    <w:p>
      <w:pPr>
        <w:numPr>
          <w:ilvl w:val="0"/>
          <w:numId w:val="30"/>
        </w:numPr>
        <w:spacing w:before="156"/>
        <w:ind w:left="425" w:firstLine="480" w:firstLineChars="200"/>
        <w:rPr>
          <w:rFonts w:hint="eastAsia" w:ascii="宋体" w:hAnsi="宋体" w:eastAsia="宋体" w:cs="宋体"/>
          <w:sz w:val="24"/>
          <w:szCs w:val="21"/>
        </w:rPr>
      </w:pPr>
      <w:bookmarkStart w:id="3" w:name="_Hlk516418580"/>
      <w:r>
        <w:rPr>
          <w:rFonts w:hint="eastAsia" w:ascii="宋体" w:hAnsi="宋体" w:eastAsia="宋体" w:cs="宋体"/>
          <w:sz w:val="24"/>
        </w:rPr>
        <w:t>如果项目实施产出物或项目在质保期内出现一般性故障，</w:t>
      </w:r>
      <w:r>
        <w:rPr>
          <w:rFonts w:hint="eastAsia" w:ascii="宋体" w:hAnsi="宋体" w:eastAsia="宋体" w:cs="宋体"/>
          <w:sz w:val="24"/>
          <w:lang w:eastAsia="zh-CN"/>
        </w:rPr>
        <w:t>服务方</w:t>
      </w:r>
      <w:r>
        <w:rPr>
          <w:rFonts w:hint="eastAsia" w:ascii="宋体" w:hAnsi="宋体" w:eastAsia="宋体" w:cs="宋体"/>
          <w:sz w:val="24"/>
        </w:rPr>
        <w:t>应在接到</w:t>
      </w:r>
      <w:r>
        <w:rPr>
          <w:rFonts w:hint="eastAsia" w:ascii="宋体" w:hAnsi="宋体" w:eastAsia="宋体" w:cs="宋体"/>
          <w:sz w:val="24"/>
          <w:lang w:eastAsia="zh-CN"/>
        </w:rPr>
        <w:t>院方</w:t>
      </w:r>
      <w:r>
        <w:rPr>
          <w:rFonts w:hint="eastAsia" w:ascii="宋体" w:hAnsi="宋体" w:eastAsia="宋体" w:cs="宋体"/>
          <w:sz w:val="24"/>
        </w:rPr>
        <w:t>报修通知内</w:t>
      </w:r>
      <w:r>
        <w:rPr>
          <w:rFonts w:hint="eastAsia" w:ascii="宋体" w:hAnsi="宋体" w:eastAsia="宋体" w:cs="宋体"/>
          <w:sz w:val="24"/>
          <w:szCs w:val="24"/>
          <w:u w:val="single"/>
        </w:rPr>
        <w:t>0.5</w:t>
      </w:r>
      <w:r>
        <w:rPr>
          <w:rFonts w:hint="eastAsia" w:ascii="宋体" w:hAnsi="宋体" w:eastAsia="宋体" w:cs="宋体"/>
          <w:sz w:val="24"/>
        </w:rPr>
        <w:t>小时内（含本数）做出处理响应；如果项目实施产出物或项目在质保期内出现重大故障，</w:t>
      </w:r>
      <w:r>
        <w:rPr>
          <w:rFonts w:hint="eastAsia" w:ascii="宋体" w:hAnsi="宋体" w:eastAsia="宋体" w:cs="宋体"/>
          <w:sz w:val="24"/>
          <w:lang w:eastAsia="zh-CN"/>
        </w:rPr>
        <w:t>服务方</w:t>
      </w:r>
      <w:r>
        <w:rPr>
          <w:rFonts w:hint="eastAsia" w:ascii="宋体" w:hAnsi="宋体" w:eastAsia="宋体" w:cs="宋体"/>
          <w:sz w:val="24"/>
        </w:rPr>
        <w:t>应立即派遣工程技术人员用最快捷的交通工具在</w:t>
      </w:r>
      <w:r>
        <w:rPr>
          <w:rFonts w:hint="eastAsia" w:ascii="宋体" w:hAnsi="宋体" w:eastAsia="宋体" w:cs="宋体"/>
          <w:sz w:val="24"/>
          <w:szCs w:val="24"/>
          <w:u w:val="single"/>
        </w:rPr>
        <w:t>1</w:t>
      </w:r>
      <w:r>
        <w:rPr>
          <w:rFonts w:hint="eastAsia" w:ascii="宋体" w:hAnsi="宋体" w:eastAsia="宋体" w:cs="宋体"/>
          <w:sz w:val="24"/>
        </w:rPr>
        <w:t>小时内（含本数）往达现场处理。</w:t>
      </w:r>
      <w:r>
        <w:rPr>
          <w:rFonts w:hint="eastAsia" w:ascii="宋体" w:hAnsi="宋体" w:eastAsia="宋体" w:cs="宋体"/>
          <w:sz w:val="24"/>
          <w:lang w:eastAsia="zh-CN"/>
        </w:rPr>
        <w:t>服务方</w:t>
      </w:r>
      <w:r>
        <w:rPr>
          <w:rFonts w:hint="eastAsia" w:ascii="宋体" w:hAnsi="宋体" w:eastAsia="宋体" w:cs="宋体"/>
          <w:sz w:val="24"/>
        </w:rPr>
        <w:t>需</w:t>
      </w:r>
      <w:r>
        <w:rPr>
          <w:rFonts w:hint="eastAsia" w:ascii="宋体" w:hAnsi="宋体" w:eastAsia="宋体" w:cs="宋体"/>
          <w:sz w:val="24"/>
          <w:szCs w:val="21"/>
        </w:rPr>
        <w:t>提出解决方案，工作至故障修妥完全恢复正常服务为止，修复时间不超过</w:t>
      </w:r>
      <w:r>
        <w:rPr>
          <w:rFonts w:hint="eastAsia" w:ascii="宋体" w:hAnsi="宋体" w:eastAsia="宋体" w:cs="宋体"/>
          <w:sz w:val="24"/>
          <w:szCs w:val="21"/>
          <w:u w:val="single"/>
        </w:rPr>
        <w:t>2</w:t>
      </w:r>
      <w:r>
        <w:rPr>
          <w:rFonts w:hint="eastAsia" w:ascii="宋体" w:hAnsi="宋体" w:eastAsia="宋体" w:cs="宋体"/>
          <w:sz w:val="24"/>
          <w:szCs w:val="21"/>
        </w:rPr>
        <w:t>个工作日。</w:t>
      </w:r>
    </w:p>
    <w:bookmarkEnd w:id="3"/>
    <w:p>
      <w:pPr>
        <w:numPr>
          <w:ilvl w:val="0"/>
          <w:numId w:val="30"/>
        </w:numPr>
        <w:spacing w:before="156"/>
        <w:ind w:left="425" w:firstLine="480" w:firstLineChars="200"/>
        <w:rPr>
          <w:rFonts w:hint="eastAsia" w:ascii="宋体" w:hAnsi="宋体" w:eastAsia="宋体" w:cs="宋体"/>
          <w:sz w:val="24"/>
        </w:rPr>
      </w:pPr>
      <w:r>
        <w:rPr>
          <w:rFonts w:hint="eastAsia" w:ascii="宋体" w:hAnsi="宋体" w:eastAsia="宋体" w:cs="宋体"/>
          <w:sz w:val="24"/>
          <w:lang w:eastAsia="zh-CN"/>
        </w:rPr>
        <w:t>服务方</w:t>
      </w:r>
      <w:r>
        <w:rPr>
          <w:rFonts w:hint="eastAsia" w:ascii="宋体" w:hAnsi="宋体" w:eastAsia="宋体" w:cs="宋体"/>
          <w:sz w:val="24"/>
        </w:rPr>
        <w:t>应作出无推诿承诺。即</w:t>
      </w:r>
      <w:r>
        <w:rPr>
          <w:rFonts w:hint="eastAsia" w:ascii="宋体" w:hAnsi="宋体" w:eastAsia="宋体" w:cs="宋体"/>
          <w:sz w:val="24"/>
          <w:lang w:eastAsia="zh-CN"/>
        </w:rPr>
        <w:t>服务方</w:t>
      </w:r>
      <w:r>
        <w:rPr>
          <w:rFonts w:hint="eastAsia" w:ascii="宋体" w:hAnsi="宋体" w:eastAsia="宋体" w:cs="宋体"/>
          <w:sz w:val="24"/>
        </w:rPr>
        <w:t>在收到</w:t>
      </w:r>
      <w:r>
        <w:rPr>
          <w:rFonts w:hint="eastAsia" w:ascii="宋体" w:hAnsi="宋体" w:eastAsia="宋体" w:cs="宋体"/>
          <w:sz w:val="24"/>
          <w:lang w:eastAsia="zh-CN"/>
        </w:rPr>
        <w:t>院方</w:t>
      </w:r>
      <w:r>
        <w:rPr>
          <w:rFonts w:hint="eastAsia" w:ascii="宋体" w:hAnsi="宋体" w:eastAsia="宋体" w:cs="宋体"/>
          <w:sz w:val="24"/>
        </w:rPr>
        <w:t>报修通知及要求后，须立即派技术人员到场，全力协助、使系统尽快恢复正常。</w:t>
      </w:r>
    </w:p>
    <w:p>
      <w:pPr>
        <w:numPr>
          <w:ilvl w:val="0"/>
          <w:numId w:val="30"/>
        </w:numPr>
        <w:spacing w:before="156"/>
        <w:ind w:left="425" w:firstLine="480" w:firstLineChars="200"/>
        <w:rPr>
          <w:rFonts w:hint="eastAsia" w:ascii="宋体" w:hAnsi="宋体" w:eastAsia="宋体" w:cs="宋体"/>
          <w:sz w:val="24"/>
        </w:rPr>
      </w:pPr>
      <w:r>
        <w:rPr>
          <w:rFonts w:hint="eastAsia" w:ascii="宋体" w:hAnsi="宋体" w:eastAsia="宋体" w:cs="宋体"/>
          <w:sz w:val="24"/>
        </w:rPr>
        <w:t>超过免费维护期的，双方另行协商签订维护合同，</w:t>
      </w:r>
      <w:r>
        <w:rPr>
          <w:rFonts w:hint="eastAsia" w:ascii="宋体" w:hAnsi="宋体" w:eastAsia="宋体" w:cs="宋体"/>
          <w:sz w:val="24"/>
          <w:lang w:eastAsia="zh-CN"/>
        </w:rPr>
        <w:t>服务方</w:t>
      </w:r>
      <w:r>
        <w:rPr>
          <w:rFonts w:hint="eastAsia" w:ascii="宋体" w:hAnsi="宋体" w:eastAsia="宋体" w:cs="宋体"/>
          <w:sz w:val="24"/>
        </w:rPr>
        <w:t>报价不超过合同软件部分金额的__</w:t>
      </w:r>
      <w:r>
        <w:rPr>
          <w:rFonts w:hint="eastAsia" w:ascii="宋体" w:hAnsi="宋体" w:eastAsia="宋体" w:cs="宋体"/>
          <w:sz w:val="24"/>
          <w:lang w:val="en-US" w:eastAsia="zh-CN"/>
        </w:rPr>
        <w:t>8</w:t>
      </w:r>
      <w:r>
        <w:rPr>
          <w:rFonts w:hint="eastAsia" w:ascii="宋体" w:hAnsi="宋体" w:eastAsia="宋体" w:cs="宋体"/>
          <w:sz w:val="24"/>
        </w:rPr>
        <w:t>__%。</w:t>
      </w:r>
    </w:p>
    <w:p>
      <w:pPr>
        <w:numPr>
          <w:ilvl w:val="0"/>
          <w:numId w:val="30"/>
        </w:numPr>
        <w:spacing w:before="156"/>
        <w:ind w:left="425" w:firstLine="480" w:firstLineChars="200"/>
        <w:rPr>
          <w:rFonts w:hint="eastAsia" w:ascii="宋体" w:hAnsi="宋体" w:eastAsia="宋体" w:cs="宋体"/>
          <w:sz w:val="24"/>
        </w:rPr>
      </w:pPr>
      <w:r>
        <w:rPr>
          <w:rFonts w:hint="eastAsia" w:ascii="宋体" w:hAnsi="宋体" w:eastAsia="宋体" w:cs="宋体"/>
          <w:sz w:val="24"/>
          <w:lang w:eastAsia="zh-CN"/>
        </w:rPr>
        <w:t>服务方</w:t>
      </w:r>
      <w:r>
        <w:rPr>
          <w:rFonts w:hint="eastAsia" w:ascii="宋体" w:hAnsi="宋体" w:eastAsia="宋体" w:cs="宋体"/>
          <w:sz w:val="24"/>
        </w:rPr>
        <w:t xml:space="preserve">须有完整的维护记录管理，确保所有问题提出及处理有记录，有供双方共同记录反馈的简捷的操作方式，达到经双方确认真实可信，可跟踪问题解决情况，查询所有维护记录，并可作为验收依据。 </w:t>
      </w:r>
    </w:p>
    <w:p>
      <w:pPr>
        <w:numPr>
          <w:ilvl w:val="0"/>
          <w:numId w:val="30"/>
        </w:numPr>
        <w:spacing w:before="156"/>
        <w:ind w:left="425"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服务方</w:t>
      </w:r>
      <w:r>
        <w:rPr>
          <w:rFonts w:hint="eastAsia" w:ascii="宋体" w:hAnsi="宋体" w:eastAsia="宋体" w:cs="宋体"/>
          <w:sz w:val="24"/>
          <w:szCs w:val="24"/>
        </w:rPr>
        <w:t>需根据</w:t>
      </w:r>
      <w:r>
        <w:rPr>
          <w:rFonts w:hint="eastAsia" w:ascii="宋体" w:hAnsi="宋体" w:eastAsia="宋体" w:cs="宋体"/>
          <w:sz w:val="24"/>
          <w:szCs w:val="24"/>
          <w:lang w:eastAsia="zh-CN"/>
        </w:rPr>
        <w:t>院方</w:t>
      </w:r>
      <w:r>
        <w:rPr>
          <w:rFonts w:hint="eastAsia" w:ascii="宋体" w:hAnsi="宋体" w:eastAsia="宋体" w:cs="宋体"/>
          <w:sz w:val="24"/>
          <w:szCs w:val="24"/>
        </w:rPr>
        <w:t>要求，安排维护人员使用</w:t>
      </w:r>
      <w:r>
        <w:rPr>
          <w:rFonts w:hint="eastAsia" w:ascii="宋体" w:hAnsi="宋体" w:eastAsia="宋体" w:cs="宋体"/>
          <w:sz w:val="24"/>
          <w:szCs w:val="24"/>
          <w:lang w:eastAsia="zh-CN"/>
        </w:rPr>
        <w:t>院方</w:t>
      </w:r>
      <w:r>
        <w:rPr>
          <w:rFonts w:hint="eastAsia" w:ascii="宋体" w:hAnsi="宋体" w:eastAsia="宋体" w:cs="宋体"/>
          <w:sz w:val="24"/>
          <w:szCs w:val="24"/>
        </w:rPr>
        <w:t>项目管理平台系统中的需求管理模块和缺陷（报障）管理模块，接收</w:t>
      </w:r>
      <w:r>
        <w:rPr>
          <w:rFonts w:hint="eastAsia" w:ascii="宋体" w:hAnsi="宋体" w:eastAsia="宋体" w:cs="宋体"/>
          <w:sz w:val="24"/>
          <w:szCs w:val="24"/>
          <w:lang w:eastAsia="zh-CN"/>
        </w:rPr>
        <w:t>院方</w:t>
      </w:r>
      <w:r>
        <w:rPr>
          <w:rFonts w:hint="eastAsia" w:ascii="宋体" w:hAnsi="宋体" w:eastAsia="宋体" w:cs="宋体"/>
          <w:sz w:val="24"/>
          <w:szCs w:val="24"/>
        </w:rPr>
        <w:t>相关报障及需求信息，并反馈相应处理信息，该维护记录可作为维保履约证明。</w:t>
      </w:r>
    </w:p>
    <w:p>
      <w:pPr>
        <w:numPr>
          <w:ilvl w:val="0"/>
          <w:numId w:val="30"/>
        </w:numPr>
        <w:spacing w:before="156"/>
        <w:ind w:left="425" w:firstLine="480" w:firstLineChars="200"/>
        <w:rPr>
          <w:rFonts w:hint="eastAsia" w:ascii="宋体" w:hAnsi="宋体" w:eastAsia="宋体" w:cs="宋体"/>
          <w:sz w:val="24"/>
          <w:szCs w:val="24"/>
        </w:rPr>
      </w:pPr>
      <w:r>
        <w:rPr>
          <w:rFonts w:hint="eastAsia" w:ascii="宋体" w:hAnsi="宋体" w:eastAsia="宋体" w:cs="宋体"/>
          <w:sz w:val="24"/>
          <w:szCs w:val="24"/>
        </w:rPr>
        <w:t>定期（每月）进行系统巡检，对系统运行的软硬件情况（尤其是数据库环境）进行监控，并出具巡检报告，针对潜在的风险应提供解决方案并实施。</w:t>
      </w:r>
    </w:p>
    <w:p>
      <w:pPr>
        <w:pStyle w:val="12"/>
        <w:numPr>
          <w:ilvl w:val="0"/>
          <w:numId w:val="28"/>
        </w:numPr>
        <w:tabs>
          <w:tab w:val="left" w:pos="420"/>
        </w:tabs>
        <w:spacing w:before="156"/>
        <w:ind w:left="480" w:leftChars="200" w:firstLine="482" w:firstLineChars="200"/>
        <w:jc w:val="left"/>
        <w:rPr>
          <w:rFonts w:hint="eastAsia" w:ascii="宋体" w:hAnsi="宋体" w:eastAsia="宋体" w:cs="宋体"/>
          <w:sz w:val="24"/>
          <w:szCs w:val="24"/>
        </w:rPr>
      </w:pPr>
      <w:r>
        <w:rPr>
          <w:rFonts w:hint="eastAsia" w:ascii="宋体" w:hAnsi="宋体" w:eastAsia="宋体" w:cs="宋体"/>
          <w:sz w:val="24"/>
          <w:szCs w:val="24"/>
        </w:rPr>
        <w:t>提供详细的维护人员清单</w:t>
      </w:r>
    </w:p>
    <w:p>
      <w:pPr>
        <w:numPr>
          <w:ilvl w:val="0"/>
          <w:numId w:val="31"/>
        </w:numPr>
        <w:spacing w:before="156"/>
        <w:ind w:left="425"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服务方</w:t>
      </w:r>
      <w:r>
        <w:rPr>
          <w:rFonts w:hint="eastAsia" w:ascii="宋体" w:hAnsi="宋体" w:eastAsia="宋体" w:cs="宋体"/>
          <w:sz w:val="24"/>
          <w:szCs w:val="24"/>
        </w:rPr>
        <w:t>能为</w:t>
      </w:r>
      <w:r>
        <w:rPr>
          <w:rFonts w:hint="eastAsia" w:ascii="宋体" w:hAnsi="宋体" w:eastAsia="宋体" w:cs="宋体"/>
          <w:sz w:val="24"/>
          <w:szCs w:val="24"/>
          <w:lang w:eastAsia="zh-CN"/>
        </w:rPr>
        <w:t>院方</w:t>
      </w:r>
      <w:r>
        <w:rPr>
          <w:rFonts w:hint="eastAsia" w:ascii="宋体" w:hAnsi="宋体" w:eastAsia="宋体" w:cs="宋体"/>
          <w:sz w:val="24"/>
          <w:szCs w:val="24"/>
        </w:rPr>
        <w:t>提供维护及服务的部门及固定的专职技术人员。</w:t>
      </w:r>
    </w:p>
    <w:p>
      <w:pPr>
        <w:numPr>
          <w:ilvl w:val="0"/>
          <w:numId w:val="31"/>
        </w:numPr>
        <w:spacing w:before="156"/>
        <w:ind w:left="425" w:firstLine="480" w:firstLineChars="200"/>
        <w:rPr>
          <w:rFonts w:hint="eastAsia" w:ascii="宋体" w:hAnsi="宋体" w:eastAsia="宋体" w:cs="宋体"/>
          <w:sz w:val="24"/>
          <w:szCs w:val="24"/>
        </w:rPr>
      </w:pPr>
      <w:r>
        <w:rPr>
          <w:rFonts w:hint="eastAsia" w:ascii="宋体" w:hAnsi="宋体" w:eastAsia="宋体" w:cs="宋体"/>
          <w:sz w:val="24"/>
          <w:szCs w:val="24"/>
        </w:rPr>
        <w:t>免费维保期内</w:t>
      </w:r>
      <w:r>
        <w:rPr>
          <w:rFonts w:hint="eastAsia" w:ascii="宋体" w:hAnsi="宋体" w:eastAsia="宋体" w:cs="宋体"/>
          <w:sz w:val="24"/>
          <w:szCs w:val="24"/>
          <w:lang w:eastAsia="zh-CN"/>
        </w:rPr>
        <w:t>服务方</w:t>
      </w:r>
      <w:r>
        <w:rPr>
          <w:rFonts w:hint="eastAsia" w:ascii="宋体" w:hAnsi="宋体" w:eastAsia="宋体" w:cs="宋体"/>
          <w:sz w:val="24"/>
          <w:szCs w:val="24"/>
        </w:rPr>
        <w:t>提供专职工程师</w:t>
      </w:r>
      <w:r>
        <w:rPr>
          <w:rFonts w:hint="eastAsia" w:cs="宋体"/>
          <w:sz w:val="24"/>
          <w:szCs w:val="24"/>
          <w:u w:val="single"/>
          <w:lang w:val="en-US" w:eastAsia="zh-CN"/>
        </w:rPr>
        <w:t>5</w:t>
      </w:r>
      <w:r>
        <w:rPr>
          <w:rFonts w:hint="eastAsia" w:ascii="宋体" w:hAnsi="宋体" w:eastAsia="宋体" w:cs="宋体"/>
          <w:sz w:val="24"/>
          <w:szCs w:val="24"/>
        </w:rPr>
        <w:t>名驻扎本院，工作时间与</w:t>
      </w:r>
      <w:r>
        <w:rPr>
          <w:rFonts w:hint="eastAsia" w:ascii="宋体" w:hAnsi="宋体" w:eastAsia="宋体" w:cs="宋体"/>
          <w:sz w:val="24"/>
          <w:szCs w:val="24"/>
          <w:lang w:eastAsia="zh-CN"/>
        </w:rPr>
        <w:t>院方</w:t>
      </w:r>
      <w:r>
        <w:rPr>
          <w:rFonts w:hint="eastAsia" w:ascii="宋体" w:hAnsi="宋体" w:eastAsia="宋体" w:cs="宋体"/>
          <w:sz w:val="24"/>
          <w:szCs w:val="24"/>
        </w:rPr>
        <w:t>工作时间一致，并且提供7*24小时响应服务。</w:t>
      </w:r>
    </w:p>
    <w:p>
      <w:pPr>
        <w:numPr>
          <w:ilvl w:val="0"/>
          <w:numId w:val="31"/>
        </w:numPr>
        <w:spacing w:before="156"/>
        <w:ind w:left="425" w:firstLine="480" w:firstLineChars="200"/>
        <w:rPr>
          <w:rFonts w:hint="eastAsia" w:ascii="宋体" w:hAnsi="宋体" w:eastAsia="宋体" w:cs="宋体"/>
          <w:sz w:val="24"/>
          <w:szCs w:val="24"/>
        </w:rPr>
      </w:pPr>
      <w:r>
        <w:rPr>
          <w:rFonts w:hint="eastAsia" w:ascii="宋体" w:hAnsi="宋体" w:eastAsia="宋体" w:cs="宋体"/>
          <w:sz w:val="24"/>
          <w:szCs w:val="24"/>
        </w:rPr>
        <w:t>维保人员的资质要求，在</w:t>
      </w:r>
      <w:r>
        <w:rPr>
          <w:rFonts w:hint="eastAsia" w:ascii="宋体" w:hAnsi="宋体" w:eastAsia="宋体" w:cs="宋体"/>
          <w:sz w:val="24"/>
          <w:szCs w:val="24"/>
          <w:lang w:eastAsia="zh-CN"/>
        </w:rPr>
        <w:t>服务方</w:t>
      </w:r>
      <w:r>
        <w:rPr>
          <w:rFonts w:hint="eastAsia" w:ascii="宋体" w:hAnsi="宋体" w:eastAsia="宋体" w:cs="宋体"/>
          <w:sz w:val="24"/>
          <w:szCs w:val="24"/>
        </w:rPr>
        <w:t>工作时间大于1年，具有相关项目实施或维护经历，如</w:t>
      </w:r>
      <w:r>
        <w:rPr>
          <w:rFonts w:hint="eastAsia" w:ascii="宋体" w:hAnsi="宋体" w:eastAsia="宋体" w:cs="宋体"/>
          <w:sz w:val="24"/>
          <w:szCs w:val="24"/>
          <w:lang w:eastAsia="zh-CN"/>
        </w:rPr>
        <w:t>院方</w:t>
      </w:r>
      <w:r>
        <w:rPr>
          <w:rFonts w:hint="eastAsia" w:ascii="宋体" w:hAnsi="宋体" w:eastAsia="宋体" w:cs="宋体"/>
          <w:sz w:val="24"/>
          <w:szCs w:val="24"/>
        </w:rPr>
        <w:t>对维保人员不满意，</w:t>
      </w:r>
      <w:r>
        <w:rPr>
          <w:rFonts w:hint="eastAsia" w:ascii="宋体" w:hAnsi="宋体" w:eastAsia="宋体" w:cs="宋体"/>
          <w:sz w:val="24"/>
          <w:szCs w:val="24"/>
          <w:lang w:eastAsia="zh-CN"/>
        </w:rPr>
        <w:t>服务方</w:t>
      </w:r>
      <w:r>
        <w:rPr>
          <w:rFonts w:hint="eastAsia" w:ascii="宋体" w:hAnsi="宋体" w:eastAsia="宋体" w:cs="宋体"/>
          <w:sz w:val="24"/>
          <w:szCs w:val="24"/>
        </w:rPr>
        <w:t>应无条件重新安排人员。</w:t>
      </w:r>
    </w:p>
    <w:p>
      <w:pPr>
        <w:numPr>
          <w:ilvl w:val="0"/>
          <w:numId w:val="31"/>
        </w:numPr>
        <w:spacing w:before="156"/>
        <w:ind w:left="425"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服务方</w:t>
      </w:r>
      <w:r>
        <w:rPr>
          <w:rFonts w:hint="eastAsia" w:ascii="宋体" w:hAnsi="宋体" w:eastAsia="宋体" w:cs="宋体"/>
          <w:sz w:val="24"/>
          <w:szCs w:val="24"/>
        </w:rPr>
        <w:t>须向</w:t>
      </w:r>
      <w:r>
        <w:rPr>
          <w:rFonts w:hint="eastAsia" w:ascii="宋体" w:hAnsi="宋体" w:eastAsia="宋体" w:cs="宋体"/>
          <w:sz w:val="24"/>
          <w:szCs w:val="24"/>
          <w:lang w:eastAsia="zh-CN"/>
        </w:rPr>
        <w:t>院方</w:t>
      </w:r>
      <w:r>
        <w:rPr>
          <w:rFonts w:hint="eastAsia" w:ascii="宋体" w:hAnsi="宋体" w:eastAsia="宋体" w:cs="宋体"/>
          <w:sz w:val="24"/>
          <w:szCs w:val="24"/>
        </w:rPr>
        <w:t>提供上述维护人员清单及其联系方式，确保</w:t>
      </w:r>
      <w:r>
        <w:rPr>
          <w:rFonts w:hint="eastAsia" w:ascii="宋体" w:hAnsi="宋体" w:eastAsia="宋体" w:cs="宋体"/>
          <w:sz w:val="24"/>
          <w:szCs w:val="24"/>
          <w:lang w:eastAsia="zh-CN"/>
        </w:rPr>
        <w:t>院方</w:t>
      </w:r>
      <w:r>
        <w:rPr>
          <w:rFonts w:hint="eastAsia" w:ascii="宋体" w:hAnsi="宋体" w:eastAsia="宋体" w:cs="宋体"/>
          <w:sz w:val="24"/>
          <w:szCs w:val="24"/>
        </w:rPr>
        <w:t>随时联系。</w:t>
      </w:r>
    </w:p>
    <w:p>
      <w:pPr>
        <w:pStyle w:val="12"/>
        <w:numPr>
          <w:ilvl w:val="0"/>
          <w:numId w:val="28"/>
        </w:numPr>
        <w:tabs>
          <w:tab w:val="left" w:pos="420"/>
        </w:tabs>
        <w:spacing w:before="156"/>
        <w:ind w:left="480" w:leftChars="200" w:firstLine="482" w:firstLineChars="200"/>
        <w:jc w:val="left"/>
        <w:rPr>
          <w:rFonts w:hint="eastAsia" w:ascii="宋体" w:hAnsi="宋体" w:eastAsia="宋体" w:cs="宋体"/>
          <w:sz w:val="24"/>
          <w:szCs w:val="24"/>
        </w:rPr>
      </w:pPr>
      <w:r>
        <w:rPr>
          <w:rFonts w:hint="eastAsia" w:ascii="宋体" w:hAnsi="宋体" w:eastAsia="宋体" w:cs="宋体"/>
          <w:sz w:val="24"/>
          <w:szCs w:val="24"/>
        </w:rPr>
        <w:t>服务方式</w:t>
      </w:r>
    </w:p>
    <w:p>
      <w:pPr>
        <w:spacing w:before="156"/>
        <w:ind w:left="480" w:leftChars="200" w:firstLine="480" w:firstLineChars="200"/>
        <w:rPr>
          <w:rFonts w:hint="eastAsia" w:ascii="宋体" w:hAnsi="宋体" w:eastAsia="宋体" w:cs="宋体"/>
          <w:sz w:val="24"/>
        </w:rPr>
      </w:pPr>
      <w:r>
        <w:rPr>
          <w:rFonts w:hint="eastAsia" w:ascii="宋体" w:hAnsi="宋体" w:eastAsia="宋体" w:cs="宋体"/>
          <w:sz w:val="24"/>
        </w:rPr>
        <w:t>以现场服务为主，其它电话、邮件指导、远程维护、技术交流方式不限。</w:t>
      </w:r>
    </w:p>
    <w:p>
      <w:pPr>
        <w:spacing w:before="156"/>
        <w:ind w:left="480" w:leftChars="200" w:firstLine="480" w:firstLineChars="200"/>
        <w:rPr>
          <w:rFonts w:hint="eastAsia" w:ascii="宋体" w:hAnsi="宋体" w:eastAsia="宋体" w:cs="宋体"/>
          <w:color w:val="FF0000"/>
          <w:sz w:val="24"/>
        </w:rPr>
      </w:pPr>
    </w:p>
    <w:p>
      <w:pPr>
        <w:rPr>
          <w:rFonts w:hint="eastAsia" w:ascii="宋体" w:hAnsi="宋体" w:eastAsia="宋体" w:cs="宋体"/>
          <w:color w:val="FF0000"/>
          <w:lang w:eastAsia="zh-CN"/>
        </w:rPr>
      </w:pPr>
    </w:p>
    <w:p>
      <w:pPr>
        <w:numPr>
          <w:ilvl w:val="0"/>
          <w:numId w:val="0"/>
        </w:numPr>
        <w:spacing w:line="360" w:lineRule="auto"/>
        <w:ind w:leftChars="200"/>
        <w:rPr>
          <w:rFonts w:asciiTheme="minorEastAsia" w:hAnsiTheme="minorEastAsia" w:eastAsiaTheme="minorEastAsia"/>
          <w:szCs w:val="32"/>
        </w:rPr>
      </w:pPr>
    </w:p>
    <w:p>
      <w:pPr>
        <w:spacing w:line="360" w:lineRule="auto"/>
        <w:rPr>
          <w:rFonts w:asciiTheme="minorEastAsia" w:hAnsiTheme="minorEastAsia" w:eastAsiaTheme="minorEastAsia"/>
          <w:b/>
          <w:sz w:val="32"/>
          <w:szCs w:val="32"/>
        </w:rPr>
      </w:pPr>
    </w:p>
    <w:p>
      <w:pPr>
        <w:spacing w:line="360" w:lineRule="auto"/>
        <w:ind w:left="-41" w:leftChars="-67" w:hanging="120" w:hangingChars="50"/>
        <w:jc w:val="both"/>
        <w:rPr>
          <w:rFonts w:hint="eastAsia" w:ascii="微软雅黑" w:hAnsi="微软雅黑" w:eastAsia="微软雅黑"/>
          <w:b/>
          <w:sz w:val="28"/>
          <w:szCs w:val="28"/>
          <w:lang w:eastAsia="zh-CN"/>
        </w:rPr>
      </w:pPr>
      <w:r>
        <w:rPr>
          <w:rFonts w:asciiTheme="minorEastAsia" w:hAnsiTheme="minorEastAsia" w:eastAsiaTheme="minorEastAsia"/>
        </w:rPr>
        <w:br w:type="page"/>
      </w:r>
      <w:r>
        <w:rPr>
          <w:rFonts w:hint="eastAsia" w:ascii="微软雅黑" w:hAnsi="微软雅黑" w:eastAsia="微软雅黑"/>
          <w:b/>
          <w:sz w:val="28"/>
          <w:szCs w:val="28"/>
        </w:rPr>
        <w:t>附件2</w:t>
      </w:r>
      <w:r>
        <w:rPr>
          <w:rFonts w:hint="eastAsia" w:ascii="微软雅黑" w:hAnsi="微软雅黑" w:eastAsia="微软雅黑"/>
          <w:b/>
          <w:sz w:val="28"/>
          <w:szCs w:val="28"/>
          <w:lang w:eastAsia="zh-CN"/>
        </w:rPr>
        <w:t>：</w:t>
      </w:r>
      <w:r>
        <w:rPr>
          <w:rFonts w:ascii="微软雅黑" w:hAnsi="微软雅黑" w:eastAsia="微软雅黑"/>
          <w:b/>
          <w:sz w:val="32"/>
          <w:szCs w:val="32"/>
        </w:rPr>
        <w:t>报名资料要求</w:t>
      </w:r>
    </w:p>
    <w:tbl>
      <w:tblPr>
        <w:tblStyle w:val="14"/>
        <w:tblW w:w="100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362"/>
        <w:gridCol w:w="3543"/>
        <w:gridCol w:w="4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679" w:type="dxa"/>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文件</w:t>
            </w:r>
          </w:p>
        </w:tc>
        <w:tc>
          <w:tcPr>
            <w:tcW w:w="1362" w:type="dxa"/>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类型</w:t>
            </w:r>
          </w:p>
        </w:tc>
        <w:tc>
          <w:tcPr>
            <w:tcW w:w="3543" w:type="dxa"/>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内容</w:t>
            </w:r>
          </w:p>
        </w:tc>
        <w:tc>
          <w:tcPr>
            <w:tcW w:w="4447" w:type="dxa"/>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9" w:type="dxa"/>
            <w:vMerge w:val="restart"/>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1</w:t>
            </w:r>
          </w:p>
        </w:tc>
        <w:tc>
          <w:tcPr>
            <w:tcW w:w="1362" w:type="dxa"/>
            <w:vMerge w:val="restart"/>
            <w:vAlign w:val="center"/>
          </w:tcPr>
          <w:p>
            <w:pPr>
              <w:spacing w:line="400" w:lineRule="exact"/>
              <w:jc w:val="center"/>
              <w:rPr>
                <w:rFonts w:ascii="微软雅黑" w:hAnsi="微软雅黑" w:eastAsia="微软雅黑"/>
                <w:b/>
                <w:szCs w:val="21"/>
              </w:rPr>
            </w:pPr>
            <w:r>
              <w:rPr>
                <w:rFonts w:hint="eastAsia" w:ascii="微软雅黑" w:hAnsi="微软雅黑" w:eastAsia="微软雅黑"/>
                <w:szCs w:val="21"/>
              </w:rPr>
              <w:t>各功能点的响应情况、</w:t>
            </w:r>
            <w:r>
              <w:rPr>
                <w:rFonts w:ascii="微软雅黑" w:hAnsi="微软雅黑" w:eastAsia="微软雅黑" w:cs="宋体"/>
                <w:bCs/>
                <w:kern w:val="0"/>
                <w:szCs w:val="21"/>
              </w:rPr>
              <w:t>后续维护服务</w:t>
            </w:r>
          </w:p>
        </w:tc>
        <w:tc>
          <w:tcPr>
            <w:tcW w:w="3543" w:type="dxa"/>
            <w:vAlign w:val="center"/>
          </w:tcPr>
          <w:p>
            <w:pPr>
              <w:spacing w:line="400" w:lineRule="exact"/>
              <w:rPr>
                <w:rFonts w:ascii="微软雅黑" w:hAnsi="微软雅黑" w:eastAsia="微软雅黑"/>
                <w:b/>
                <w:szCs w:val="21"/>
              </w:rPr>
            </w:pPr>
            <w:r>
              <w:rPr>
                <w:rFonts w:ascii="微软雅黑" w:hAnsi="微软雅黑" w:eastAsia="微软雅黑" w:cs="宋体"/>
                <w:kern w:val="0"/>
                <w:szCs w:val="21"/>
              </w:rPr>
              <w:t>1</w:t>
            </w:r>
            <w:r>
              <w:rPr>
                <w:rFonts w:hint="eastAsia" w:ascii="微软雅黑" w:hAnsi="微软雅黑" w:eastAsia="微软雅黑" w:cs="宋体"/>
                <w:kern w:val="0"/>
                <w:szCs w:val="21"/>
              </w:rPr>
              <w:t>.</w:t>
            </w:r>
            <w:r>
              <w:rPr>
                <w:rFonts w:hint="eastAsia" w:ascii="微软雅黑" w:hAnsi="微软雅黑" w:eastAsia="微软雅黑"/>
                <w:szCs w:val="21"/>
              </w:rPr>
              <w:t>各功能点的响应情况；</w:t>
            </w:r>
          </w:p>
        </w:tc>
        <w:tc>
          <w:tcPr>
            <w:tcW w:w="4447" w:type="dxa"/>
            <w:vMerge w:val="restart"/>
          </w:tcPr>
          <w:p>
            <w:pPr>
              <w:spacing w:line="400" w:lineRule="exact"/>
              <w:rPr>
                <w:rFonts w:ascii="微软雅黑" w:hAnsi="微软雅黑" w:eastAsia="微软雅黑"/>
                <w:szCs w:val="21"/>
              </w:rPr>
            </w:pPr>
            <w:r>
              <w:rPr>
                <w:rFonts w:hint="eastAsia" w:ascii="微软雅黑" w:hAnsi="微软雅黑" w:eastAsia="微软雅黑"/>
                <w:szCs w:val="21"/>
              </w:rPr>
              <w:t>（1）可编辑的WORD版或excel版；</w:t>
            </w:r>
          </w:p>
          <w:p>
            <w:pPr>
              <w:spacing w:line="400" w:lineRule="exact"/>
              <w:rPr>
                <w:rFonts w:ascii="微软雅黑" w:hAnsi="微软雅黑" w:eastAsia="微软雅黑"/>
                <w:szCs w:val="21"/>
              </w:rPr>
            </w:pPr>
            <w:r>
              <w:rPr>
                <w:rFonts w:hint="eastAsia" w:ascii="微软雅黑" w:hAnsi="微软雅黑" w:eastAsia="微软雅黑"/>
                <w:szCs w:val="21"/>
              </w:rPr>
              <w:t>（2）相关售后质量及服务承诺。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9" w:type="dxa"/>
            <w:vMerge w:val="continue"/>
          </w:tcPr>
          <w:p>
            <w:pPr>
              <w:spacing w:line="400" w:lineRule="exact"/>
              <w:rPr>
                <w:rFonts w:ascii="微软雅黑" w:hAnsi="微软雅黑" w:eastAsia="微软雅黑"/>
                <w:szCs w:val="21"/>
              </w:rPr>
            </w:pPr>
          </w:p>
        </w:tc>
        <w:tc>
          <w:tcPr>
            <w:tcW w:w="1362" w:type="dxa"/>
            <w:vMerge w:val="continue"/>
          </w:tcPr>
          <w:p>
            <w:pPr>
              <w:spacing w:line="400" w:lineRule="exact"/>
              <w:rPr>
                <w:rFonts w:ascii="微软雅黑" w:hAnsi="微软雅黑" w:eastAsia="微软雅黑"/>
                <w:b/>
                <w:szCs w:val="21"/>
              </w:rPr>
            </w:pPr>
          </w:p>
        </w:tc>
        <w:tc>
          <w:tcPr>
            <w:tcW w:w="3543" w:type="dxa"/>
            <w:vAlign w:val="center"/>
          </w:tcPr>
          <w:p>
            <w:pPr>
              <w:spacing w:line="400" w:lineRule="exact"/>
              <w:rPr>
                <w:rFonts w:ascii="微软雅黑" w:hAnsi="微软雅黑" w:eastAsia="微软雅黑" w:cs="宋体"/>
                <w:kern w:val="0"/>
                <w:szCs w:val="21"/>
              </w:rPr>
            </w:pPr>
            <w:r>
              <w:rPr>
                <w:rFonts w:hint="eastAsia" w:ascii="微软雅黑" w:hAnsi="微软雅黑" w:eastAsia="微软雅黑" w:cs="宋体"/>
                <w:kern w:val="0"/>
                <w:szCs w:val="21"/>
              </w:rPr>
              <w:t>2.</w:t>
            </w:r>
            <w:r>
              <w:rPr>
                <w:rFonts w:ascii="微软雅黑" w:hAnsi="微软雅黑" w:eastAsia="微软雅黑" w:cs="宋体"/>
                <w:kern w:val="0"/>
                <w:szCs w:val="21"/>
              </w:rPr>
              <w:t>免费维保期</w:t>
            </w:r>
            <w:r>
              <w:rPr>
                <w:rFonts w:hint="eastAsia" w:ascii="微软雅黑" w:hAnsi="微软雅黑" w:eastAsia="微软雅黑" w:cs="宋体"/>
                <w:kern w:val="0"/>
                <w:szCs w:val="21"/>
              </w:rPr>
              <w:t>；</w:t>
            </w:r>
          </w:p>
        </w:tc>
        <w:tc>
          <w:tcPr>
            <w:tcW w:w="4447" w:type="dxa"/>
            <w:vMerge w:val="continue"/>
          </w:tcPr>
          <w:p>
            <w:pPr>
              <w:spacing w:line="400" w:lineRule="exact"/>
              <w:rPr>
                <w:rFonts w:ascii="微软雅黑" w:hAnsi="微软雅黑" w:eastAsia="微软雅黑"/>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9" w:type="dxa"/>
            <w:vMerge w:val="continue"/>
          </w:tcPr>
          <w:p>
            <w:pPr>
              <w:spacing w:line="400" w:lineRule="exact"/>
              <w:rPr>
                <w:rFonts w:ascii="微软雅黑" w:hAnsi="微软雅黑" w:eastAsia="微软雅黑"/>
                <w:szCs w:val="21"/>
              </w:rPr>
            </w:pPr>
          </w:p>
        </w:tc>
        <w:tc>
          <w:tcPr>
            <w:tcW w:w="1362" w:type="dxa"/>
            <w:vMerge w:val="continue"/>
          </w:tcPr>
          <w:p>
            <w:pPr>
              <w:spacing w:line="400" w:lineRule="exact"/>
              <w:rPr>
                <w:rFonts w:ascii="微软雅黑" w:hAnsi="微软雅黑" w:eastAsia="微软雅黑"/>
                <w:b/>
                <w:szCs w:val="21"/>
              </w:rPr>
            </w:pPr>
          </w:p>
        </w:tc>
        <w:tc>
          <w:tcPr>
            <w:tcW w:w="3543" w:type="dxa"/>
            <w:vAlign w:val="center"/>
          </w:tcPr>
          <w:p>
            <w:pPr>
              <w:spacing w:line="400" w:lineRule="exact"/>
              <w:rPr>
                <w:rFonts w:ascii="微软雅黑" w:hAnsi="微软雅黑" w:eastAsia="微软雅黑" w:cs="宋体"/>
                <w:kern w:val="0"/>
                <w:szCs w:val="21"/>
              </w:rPr>
            </w:pPr>
            <w:r>
              <w:rPr>
                <w:rFonts w:hint="eastAsia" w:ascii="微软雅黑" w:hAnsi="微软雅黑" w:eastAsia="微软雅黑" w:cs="宋体"/>
                <w:kern w:val="0"/>
                <w:szCs w:val="21"/>
              </w:rPr>
              <w:t>3.</w:t>
            </w:r>
            <w:r>
              <w:rPr>
                <w:rFonts w:ascii="微软雅黑" w:hAnsi="微软雅黑" w:eastAsia="微软雅黑" w:cs="宋体"/>
                <w:kern w:val="0"/>
                <w:szCs w:val="21"/>
              </w:rPr>
              <w:t>免费维保期后维保费率</w:t>
            </w:r>
            <w:r>
              <w:rPr>
                <w:rFonts w:hint="eastAsia" w:ascii="微软雅黑" w:hAnsi="微软雅黑" w:eastAsia="微软雅黑" w:cs="宋体"/>
                <w:kern w:val="0"/>
                <w:szCs w:val="21"/>
              </w:rPr>
              <w:t>；</w:t>
            </w:r>
          </w:p>
        </w:tc>
        <w:tc>
          <w:tcPr>
            <w:tcW w:w="4447" w:type="dxa"/>
            <w:vMerge w:val="continue"/>
          </w:tcPr>
          <w:p>
            <w:pPr>
              <w:spacing w:line="400" w:lineRule="exact"/>
              <w:rPr>
                <w:rFonts w:ascii="微软雅黑" w:hAnsi="微软雅黑" w:eastAsia="微软雅黑"/>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9" w:type="dxa"/>
            <w:vMerge w:val="continue"/>
          </w:tcPr>
          <w:p>
            <w:pPr>
              <w:spacing w:line="400" w:lineRule="exact"/>
              <w:rPr>
                <w:rFonts w:ascii="微软雅黑" w:hAnsi="微软雅黑" w:eastAsia="微软雅黑"/>
                <w:szCs w:val="21"/>
              </w:rPr>
            </w:pPr>
          </w:p>
        </w:tc>
        <w:tc>
          <w:tcPr>
            <w:tcW w:w="1362" w:type="dxa"/>
            <w:vMerge w:val="continue"/>
          </w:tcPr>
          <w:p>
            <w:pPr>
              <w:spacing w:line="400" w:lineRule="exact"/>
              <w:rPr>
                <w:rFonts w:ascii="微软雅黑" w:hAnsi="微软雅黑" w:eastAsia="微软雅黑"/>
                <w:b/>
                <w:szCs w:val="21"/>
              </w:rPr>
            </w:pPr>
          </w:p>
        </w:tc>
        <w:tc>
          <w:tcPr>
            <w:tcW w:w="3543" w:type="dxa"/>
            <w:vAlign w:val="center"/>
          </w:tcPr>
          <w:p>
            <w:pPr>
              <w:spacing w:line="400" w:lineRule="exact"/>
              <w:rPr>
                <w:rFonts w:ascii="微软雅黑" w:hAnsi="微软雅黑" w:eastAsia="微软雅黑" w:cs="宋体"/>
                <w:kern w:val="0"/>
                <w:szCs w:val="21"/>
              </w:rPr>
            </w:pPr>
            <w:r>
              <w:rPr>
                <w:rFonts w:hint="eastAsia" w:ascii="微软雅黑" w:hAnsi="微软雅黑" w:eastAsia="微软雅黑" w:cs="宋体"/>
                <w:kern w:val="0"/>
                <w:szCs w:val="21"/>
              </w:rPr>
              <w:t>4.</w:t>
            </w:r>
            <w:r>
              <w:rPr>
                <w:rFonts w:ascii="微软雅黑" w:hAnsi="微软雅黑" w:eastAsia="微软雅黑" w:cs="宋体"/>
                <w:kern w:val="0"/>
                <w:szCs w:val="21"/>
              </w:rPr>
              <w:t>本地维护团队</w:t>
            </w:r>
            <w:r>
              <w:rPr>
                <w:rFonts w:hint="eastAsia" w:ascii="微软雅黑" w:hAnsi="微软雅黑" w:eastAsia="微软雅黑" w:cs="宋体"/>
                <w:kern w:val="0"/>
                <w:szCs w:val="21"/>
              </w:rPr>
              <w:t>；</w:t>
            </w:r>
          </w:p>
        </w:tc>
        <w:tc>
          <w:tcPr>
            <w:tcW w:w="4447" w:type="dxa"/>
            <w:vMerge w:val="continue"/>
          </w:tcPr>
          <w:p>
            <w:pPr>
              <w:spacing w:line="400" w:lineRule="exact"/>
              <w:rPr>
                <w:rFonts w:ascii="微软雅黑" w:hAnsi="微软雅黑" w:eastAsia="微软雅黑"/>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9" w:type="dxa"/>
            <w:vMerge w:val="continue"/>
          </w:tcPr>
          <w:p>
            <w:pPr>
              <w:spacing w:line="400" w:lineRule="exact"/>
              <w:rPr>
                <w:rFonts w:ascii="微软雅黑" w:hAnsi="微软雅黑" w:eastAsia="微软雅黑"/>
                <w:szCs w:val="21"/>
              </w:rPr>
            </w:pPr>
          </w:p>
        </w:tc>
        <w:tc>
          <w:tcPr>
            <w:tcW w:w="1362" w:type="dxa"/>
            <w:vMerge w:val="continue"/>
          </w:tcPr>
          <w:p>
            <w:pPr>
              <w:spacing w:line="400" w:lineRule="exact"/>
              <w:rPr>
                <w:rFonts w:ascii="微软雅黑" w:hAnsi="微软雅黑" w:eastAsia="微软雅黑"/>
                <w:b/>
                <w:szCs w:val="21"/>
              </w:rPr>
            </w:pPr>
          </w:p>
        </w:tc>
        <w:tc>
          <w:tcPr>
            <w:tcW w:w="3543" w:type="dxa"/>
            <w:vAlign w:val="center"/>
          </w:tcPr>
          <w:p>
            <w:pPr>
              <w:spacing w:line="400" w:lineRule="exact"/>
              <w:rPr>
                <w:rFonts w:ascii="微软雅黑" w:hAnsi="微软雅黑" w:eastAsia="微软雅黑" w:cs="宋体"/>
                <w:kern w:val="0"/>
                <w:szCs w:val="21"/>
              </w:rPr>
            </w:pPr>
            <w:r>
              <w:rPr>
                <w:rFonts w:hint="eastAsia" w:ascii="微软雅黑" w:hAnsi="微软雅黑" w:eastAsia="微软雅黑" w:cs="宋体"/>
                <w:kern w:val="0"/>
                <w:szCs w:val="21"/>
              </w:rPr>
              <w:t>5.</w:t>
            </w:r>
            <w:r>
              <w:rPr>
                <w:rFonts w:hint="eastAsia" w:ascii="微软雅黑" w:hAnsi="微软雅黑" w:eastAsia="微软雅黑"/>
                <w:szCs w:val="21"/>
              </w:rPr>
              <w:t>公司项目联系人及联系方式。</w:t>
            </w:r>
          </w:p>
        </w:tc>
        <w:tc>
          <w:tcPr>
            <w:tcW w:w="4447" w:type="dxa"/>
            <w:vMerge w:val="continue"/>
          </w:tcPr>
          <w:p>
            <w:pPr>
              <w:spacing w:line="400" w:lineRule="exact"/>
              <w:rPr>
                <w:rFonts w:ascii="微软雅黑" w:hAnsi="微软雅黑" w:eastAsia="微软雅黑"/>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9" w:type="dxa"/>
            <w:vMerge w:val="restart"/>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2</w:t>
            </w:r>
          </w:p>
        </w:tc>
        <w:tc>
          <w:tcPr>
            <w:tcW w:w="1362" w:type="dxa"/>
            <w:vMerge w:val="restart"/>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公司资质</w:t>
            </w:r>
          </w:p>
        </w:tc>
        <w:tc>
          <w:tcPr>
            <w:tcW w:w="3543" w:type="dxa"/>
            <w:vAlign w:val="center"/>
          </w:tcPr>
          <w:p>
            <w:pPr>
              <w:spacing w:line="400" w:lineRule="exact"/>
              <w:rPr>
                <w:rFonts w:ascii="微软雅黑" w:hAnsi="微软雅黑" w:eastAsia="微软雅黑" w:cs="宋体"/>
                <w:kern w:val="0"/>
                <w:szCs w:val="21"/>
              </w:rPr>
            </w:pPr>
            <w:r>
              <w:rPr>
                <w:rFonts w:ascii="微软雅黑" w:hAnsi="微软雅黑" w:eastAsia="微软雅黑" w:cs="宋体"/>
                <w:kern w:val="0"/>
                <w:szCs w:val="21"/>
              </w:rPr>
              <w:t>1</w:t>
            </w:r>
            <w:r>
              <w:rPr>
                <w:rFonts w:hint="eastAsia" w:ascii="微软雅黑" w:hAnsi="微软雅黑" w:eastAsia="微软雅黑" w:cs="宋体"/>
                <w:kern w:val="0"/>
                <w:szCs w:val="21"/>
              </w:rPr>
              <w:t>.</w:t>
            </w:r>
            <w:r>
              <w:rPr>
                <w:rFonts w:ascii="微软雅黑" w:hAnsi="微软雅黑" w:eastAsia="微软雅黑" w:cs="宋体"/>
                <w:kern w:val="0"/>
                <w:szCs w:val="21"/>
              </w:rPr>
              <w:t>规模实力</w:t>
            </w:r>
            <w:r>
              <w:rPr>
                <w:rFonts w:hint="eastAsia" w:ascii="微软雅黑" w:hAnsi="微软雅黑" w:eastAsia="微软雅黑" w:cs="宋体"/>
                <w:kern w:val="0"/>
                <w:szCs w:val="21"/>
              </w:rPr>
              <w:t>；</w:t>
            </w:r>
          </w:p>
        </w:tc>
        <w:tc>
          <w:tcPr>
            <w:tcW w:w="4447" w:type="dxa"/>
            <w:vMerge w:val="restart"/>
          </w:tcPr>
          <w:p>
            <w:pPr>
              <w:spacing w:line="400" w:lineRule="exact"/>
              <w:rPr>
                <w:rFonts w:ascii="微软雅黑" w:hAnsi="微软雅黑" w:eastAsia="微软雅黑"/>
                <w:szCs w:val="21"/>
              </w:rPr>
            </w:pPr>
            <w:r>
              <w:rPr>
                <w:rFonts w:hint="eastAsia" w:ascii="微软雅黑" w:hAnsi="微软雅黑" w:eastAsia="微软雅黑"/>
                <w:szCs w:val="21"/>
              </w:rPr>
              <w:t>（1）一份可编辑的WORD版或excel版;</w:t>
            </w:r>
          </w:p>
          <w:p>
            <w:pPr>
              <w:spacing w:line="400" w:lineRule="exact"/>
              <w:rPr>
                <w:rFonts w:ascii="微软雅黑" w:hAnsi="微软雅黑" w:eastAsia="微软雅黑"/>
                <w:szCs w:val="21"/>
              </w:rPr>
            </w:pPr>
            <w:r>
              <w:rPr>
                <w:rFonts w:hint="eastAsia" w:ascii="微软雅黑" w:hAnsi="微软雅黑" w:eastAsia="微软雅黑"/>
                <w:szCs w:val="21"/>
              </w:rPr>
              <w:t>（2）代理公司需提供授权代理资质；</w:t>
            </w:r>
          </w:p>
          <w:p>
            <w:pPr>
              <w:spacing w:line="400" w:lineRule="exact"/>
              <w:rPr>
                <w:rFonts w:ascii="微软雅黑" w:hAnsi="微软雅黑" w:eastAsia="微软雅黑"/>
                <w:szCs w:val="21"/>
              </w:rPr>
            </w:pPr>
            <w:r>
              <w:rPr>
                <w:rFonts w:hint="eastAsia" w:ascii="微软雅黑" w:hAnsi="微软雅黑" w:eastAsia="微软雅黑"/>
                <w:szCs w:val="21"/>
              </w:rPr>
              <w:t>（3）贵司的营业执照、税务登记证、组织机构代码证。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9" w:type="dxa"/>
            <w:vMerge w:val="continue"/>
          </w:tcPr>
          <w:p>
            <w:pPr>
              <w:spacing w:line="400" w:lineRule="exact"/>
              <w:rPr>
                <w:rFonts w:ascii="微软雅黑" w:hAnsi="微软雅黑" w:eastAsia="微软雅黑"/>
                <w:szCs w:val="21"/>
              </w:rPr>
            </w:pPr>
          </w:p>
        </w:tc>
        <w:tc>
          <w:tcPr>
            <w:tcW w:w="1362" w:type="dxa"/>
            <w:vMerge w:val="continue"/>
          </w:tcPr>
          <w:p>
            <w:pPr>
              <w:spacing w:line="400" w:lineRule="exact"/>
              <w:rPr>
                <w:rFonts w:ascii="微软雅黑" w:hAnsi="微软雅黑" w:eastAsia="微软雅黑"/>
                <w:b/>
                <w:szCs w:val="21"/>
              </w:rPr>
            </w:pPr>
          </w:p>
        </w:tc>
        <w:tc>
          <w:tcPr>
            <w:tcW w:w="3543" w:type="dxa"/>
            <w:vAlign w:val="center"/>
          </w:tcPr>
          <w:p>
            <w:pPr>
              <w:spacing w:line="400" w:lineRule="exact"/>
              <w:rPr>
                <w:rFonts w:ascii="微软雅黑" w:hAnsi="微软雅黑" w:eastAsia="微软雅黑" w:cs="宋体"/>
                <w:kern w:val="0"/>
                <w:szCs w:val="21"/>
              </w:rPr>
            </w:pPr>
            <w:r>
              <w:rPr>
                <w:rFonts w:ascii="微软雅黑" w:hAnsi="微软雅黑" w:eastAsia="微软雅黑" w:cs="宋体"/>
                <w:kern w:val="0"/>
                <w:szCs w:val="21"/>
              </w:rPr>
              <w:t>2</w:t>
            </w:r>
            <w:r>
              <w:rPr>
                <w:rFonts w:hint="eastAsia" w:ascii="微软雅黑" w:hAnsi="微软雅黑" w:eastAsia="微软雅黑" w:cs="宋体"/>
                <w:kern w:val="0"/>
                <w:szCs w:val="21"/>
              </w:rPr>
              <w:t>.</w:t>
            </w:r>
            <w:r>
              <w:rPr>
                <w:rFonts w:ascii="微软雅黑" w:hAnsi="微软雅黑" w:eastAsia="微软雅黑" w:cs="宋体"/>
                <w:kern w:val="0"/>
                <w:szCs w:val="21"/>
              </w:rPr>
              <w:t>研发团队力量</w:t>
            </w:r>
            <w:r>
              <w:rPr>
                <w:rFonts w:hint="eastAsia" w:ascii="微软雅黑" w:hAnsi="微软雅黑" w:eastAsia="微软雅黑" w:cs="宋体"/>
                <w:kern w:val="0"/>
                <w:szCs w:val="21"/>
              </w:rPr>
              <w:t>；</w:t>
            </w:r>
          </w:p>
        </w:tc>
        <w:tc>
          <w:tcPr>
            <w:tcW w:w="4447" w:type="dxa"/>
            <w:vMerge w:val="continue"/>
          </w:tcPr>
          <w:p>
            <w:pPr>
              <w:spacing w:line="400" w:lineRule="exact"/>
              <w:rPr>
                <w:rFonts w:ascii="微软雅黑" w:hAnsi="微软雅黑" w:eastAsia="微软雅黑"/>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9" w:type="dxa"/>
            <w:vMerge w:val="continue"/>
          </w:tcPr>
          <w:p>
            <w:pPr>
              <w:spacing w:line="400" w:lineRule="exact"/>
              <w:rPr>
                <w:rFonts w:ascii="微软雅黑" w:hAnsi="微软雅黑" w:eastAsia="微软雅黑"/>
                <w:szCs w:val="21"/>
              </w:rPr>
            </w:pPr>
          </w:p>
        </w:tc>
        <w:tc>
          <w:tcPr>
            <w:tcW w:w="1362" w:type="dxa"/>
            <w:vMerge w:val="continue"/>
          </w:tcPr>
          <w:p>
            <w:pPr>
              <w:spacing w:line="400" w:lineRule="exact"/>
              <w:rPr>
                <w:rFonts w:ascii="微软雅黑" w:hAnsi="微软雅黑" w:eastAsia="微软雅黑"/>
                <w:b/>
                <w:szCs w:val="21"/>
              </w:rPr>
            </w:pPr>
          </w:p>
        </w:tc>
        <w:tc>
          <w:tcPr>
            <w:tcW w:w="3543" w:type="dxa"/>
            <w:vAlign w:val="center"/>
          </w:tcPr>
          <w:p>
            <w:pPr>
              <w:spacing w:line="400" w:lineRule="exact"/>
              <w:rPr>
                <w:rFonts w:ascii="微软雅黑" w:hAnsi="微软雅黑" w:eastAsia="微软雅黑" w:cs="宋体"/>
                <w:kern w:val="0"/>
                <w:szCs w:val="21"/>
              </w:rPr>
            </w:pPr>
            <w:r>
              <w:rPr>
                <w:rFonts w:ascii="微软雅黑" w:hAnsi="微软雅黑" w:eastAsia="微软雅黑" w:cs="宋体"/>
                <w:kern w:val="0"/>
                <w:szCs w:val="21"/>
              </w:rPr>
              <w:t>3</w:t>
            </w:r>
            <w:r>
              <w:rPr>
                <w:rFonts w:hint="eastAsia" w:ascii="微软雅黑" w:hAnsi="微软雅黑" w:eastAsia="微软雅黑" w:cs="宋体"/>
                <w:kern w:val="0"/>
                <w:szCs w:val="21"/>
              </w:rPr>
              <w:t>.</w:t>
            </w:r>
            <w:r>
              <w:rPr>
                <w:rFonts w:ascii="微软雅黑" w:hAnsi="微软雅黑" w:eastAsia="微软雅黑" w:cs="宋体"/>
                <w:kern w:val="0"/>
                <w:szCs w:val="21"/>
              </w:rPr>
              <w:t>行业专注度（专业背景）</w:t>
            </w:r>
            <w:r>
              <w:rPr>
                <w:rFonts w:hint="eastAsia" w:ascii="微软雅黑" w:hAnsi="微软雅黑" w:eastAsia="微软雅黑" w:cs="宋体"/>
                <w:kern w:val="0"/>
                <w:szCs w:val="21"/>
              </w:rPr>
              <w:t>；</w:t>
            </w:r>
          </w:p>
        </w:tc>
        <w:tc>
          <w:tcPr>
            <w:tcW w:w="4447" w:type="dxa"/>
            <w:vMerge w:val="continue"/>
          </w:tcPr>
          <w:p>
            <w:pPr>
              <w:spacing w:line="400" w:lineRule="exact"/>
              <w:rPr>
                <w:rFonts w:ascii="微软雅黑" w:hAnsi="微软雅黑" w:eastAsia="微软雅黑"/>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9" w:type="dxa"/>
            <w:vMerge w:val="continue"/>
          </w:tcPr>
          <w:p>
            <w:pPr>
              <w:spacing w:line="400" w:lineRule="exact"/>
              <w:rPr>
                <w:rFonts w:ascii="微软雅黑" w:hAnsi="微软雅黑" w:eastAsia="微软雅黑"/>
                <w:szCs w:val="21"/>
              </w:rPr>
            </w:pPr>
          </w:p>
        </w:tc>
        <w:tc>
          <w:tcPr>
            <w:tcW w:w="1362" w:type="dxa"/>
            <w:vMerge w:val="continue"/>
          </w:tcPr>
          <w:p>
            <w:pPr>
              <w:spacing w:line="400" w:lineRule="exact"/>
              <w:rPr>
                <w:rFonts w:ascii="微软雅黑" w:hAnsi="微软雅黑" w:eastAsia="微软雅黑"/>
                <w:b/>
                <w:szCs w:val="21"/>
              </w:rPr>
            </w:pPr>
          </w:p>
        </w:tc>
        <w:tc>
          <w:tcPr>
            <w:tcW w:w="3543" w:type="dxa"/>
            <w:vAlign w:val="center"/>
          </w:tcPr>
          <w:p>
            <w:pPr>
              <w:spacing w:line="400" w:lineRule="exact"/>
              <w:rPr>
                <w:rFonts w:ascii="微软雅黑" w:hAnsi="微软雅黑" w:eastAsia="微软雅黑" w:cs="宋体"/>
                <w:kern w:val="0"/>
                <w:szCs w:val="21"/>
              </w:rPr>
            </w:pPr>
            <w:r>
              <w:rPr>
                <w:rFonts w:ascii="微软雅黑" w:hAnsi="微软雅黑" w:eastAsia="微软雅黑" w:cs="宋体"/>
                <w:kern w:val="0"/>
                <w:szCs w:val="21"/>
              </w:rPr>
              <w:t>4</w:t>
            </w:r>
            <w:r>
              <w:rPr>
                <w:rFonts w:hint="eastAsia" w:ascii="微软雅黑" w:hAnsi="微软雅黑" w:eastAsia="微软雅黑" w:cs="宋体"/>
                <w:kern w:val="0"/>
                <w:szCs w:val="21"/>
              </w:rPr>
              <w:t>.</w:t>
            </w:r>
            <w:r>
              <w:rPr>
                <w:rFonts w:ascii="微软雅黑" w:hAnsi="微软雅黑" w:eastAsia="微软雅黑" w:cs="宋体"/>
                <w:kern w:val="0"/>
                <w:szCs w:val="21"/>
              </w:rPr>
              <w:t>从业年限</w:t>
            </w:r>
            <w:r>
              <w:rPr>
                <w:rFonts w:hint="eastAsia" w:ascii="微软雅黑" w:hAnsi="微软雅黑" w:eastAsia="微软雅黑" w:cs="宋体"/>
                <w:kern w:val="0"/>
                <w:szCs w:val="21"/>
              </w:rPr>
              <w:t>。</w:t>
            </w:r>
          </w:p>
        </w:tc>
        <w:tc>
          <w:tcPr>
            <w:tcW w:w="4447" w:type="dxa"/>
            <w:vMerge w:val="continue"/>
          </w:tcPr>
          <w:p>
            <w:pPr>
              <w:spacing w:line="400" w:lineRule="exact"/>
              <w:rPr>
                <w:rFonts w:ascii="微软雅黑" w:hAnsi="微软雅黑" w:eastAsia="微软雅黑"/>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9" w:type="dxa"/>
            <w:vMerge w:val="restart"/>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3</w:t>
            </w:r>
          </w:p>
        </w:tc>
        <w:tc>
          <w:tcPr>
            <w:tcW w:w="1362" w:type="dxa"/>
            <w:vMerge w:val="restart"/>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实施方案、实施周期</w:t>
            </w:r>
          </w:p>
        </w:tc>
        <w:tc>
          <w:tcPr>
            <w:tcW w:w="3543" w:type="dxa"/>
            <w:vAlign w:val="center"/>
          </w:tcPr>
          <w:p>
            <w:pPr>
              <w:spacing w:line="400" w:lineRule="exact"/>
              <w:rPr>
                <w:rFonts w:ascii="微软雅黑" w:hAnsi="微软雅黑" w:eastAsia="微软雅黑" w:cs="宋体"/>
                <w:kern w:val="0"/>
                <w:szCs w:val="21"/>
              </w:rPr>
            </w:pPr>
            <w:r>
              <w:rPr>
                <w:rFonts w:ascii="微软雅黑" w:hAnsi="微软雅黑" w:eastAsia="微软雅黑" w:cs="宋体"/>
                <w:kern w:val="0"/>
                <w:szCs w:val="21"/>
              </w:rPr>
              <w:t>1</w:t>
            </w:r>
            <w:r>
              <w:rPr>
                <w:rFonts w:hint="eastAsia" w:ascii="微软雅黑" w:hAnsi="微软雅黑" w:eastAsia="微软雅黑" w:cs="宋体"/>
                <w:kern w:val="0"/>
                <w:szCs w:val="21"/>
              </w:rPr>
              <w:t>.</w:t>
            </w:r>
            <w:r>
              <w:rPr>
                <w:rFonts w:ascii="微软雅黑" w:hAnsi="微软雅黑" w:eastAsia="微软雅黑" w:cs="宋体"/>
                <w:kern w:val="0"/>
                <w:szCs w:val="21"/>
              </w:rPr>
              <w:t>产品功能、完整性</w:t>
            </w:r>
            <w:r>
              <w:rPr>
                <w:rFonts w:hint="eastAsia" w:ascii="微软雅黑" w:hAnsi="微软雅黑" w:eastAsia="微软雅黑" w:cs="宋体"/>
                <w:kern w:val="0"/>
                <w:szCs w:val="21"/>
              </w:rPr>
              <w:t>；</w:t>
            </w:r>
          </w:p>
        </w:tc>
        <w:tc>
          <w:tcPr>
            <w:tcW w:w="4447" w:type="dxa"/>
            <w:vMerge w:val="restart"/>
          </w:tcPr>
          <w:p>
            <w:pPr>
              <w:spacing w:line="400" w:lineRule="exact"/>
              <w:rPr>
                <w:rFonts w:ascii="微软雅黑" w:hAnsi="微软雅黑" w:eastAsia="微软雅黑"/>
                <w:szCs w:val="21"/>
              </w:rPr>
            </w:pPr>
            <w:r>
              <w:rPr>
                <w:rFonts w:hint="eastAsia" w:ascii="微软雅黑" w:hAnsi="微软雅黑" w:eastAsia="微软雅黑"/>
                <w:szCs w:val="21"/>
              </w:rPr>
              <w:t>（1）一份可编辑的WORD版或excel版;</w:t>
            </w:r>
          </w:p>
          <w:p>
            <w:pPr>
              <w:spacing w:line="400" w:lineRule="exact"/>
              <w:rPr>
                <w:rFonts w:ascii="微软雅黑" w:hAnsi="微软雅黑" w:eastAsia="微软雅黑"/>
                <w:b/>
                <w:szCs w:val="21"/>
              </w:rPr>
            </w:pPr>
            <w:r>
              <w:rPr>
                <w:rFonts w:hint="eastAsia" w:ascii="微软雅黑" w:hAnsi="微软雅黑" w:eastAsia="微软雅黑"/>
                <w:szCs w:val="21"/>
              </w:rPr>
              <w:t>（2）项目实施具体方案、实施周期。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spacing w:line="400" w:lineRule="exact"/>
              <w:jc w:val="center"/>
              <w:rPr>
                <w:rFonts w:ascii="微软雅黑" w:hAnsi="微软雅黑" w:eastAsia="微软雅黑"/>
                <w:szCs w:val="21"/>
              </w:rPr>
            </w:pPr>
          </w:p>
        </w:tc>
        <w:tc>
          <w:tcPr>
            <w:tcW w:w="1362" w:type="dxa"/>
            <w:vMerge w:val="continue"/>
            <w:vAlign w:val="center"/>
          </w:tcPr>
          <w:p>
            <w:pPr>
              <w:spacing w:line="400" w:lineRule="exact"/>
              <w:jc w:val="center"/>
              <w:rPr>
                <w:rFonts w:ascii="微软雅黑" w:hAnsi="微软雅黑" w:eastAsia="微软雅黑"/>
                <w:szCs w:val="21"/>
              </w:rPr>
            </w:pPr>
          </w:p>
        </w:tc>
        <w:tc>
          <w:tcPr>
            <w:tcW w:w="3543" w:type="dxa"/>
            <w:vAlign w:val="center"/>
          </w:tcPr>
          <w:p>
            <w:pPr>
              <w:spacing w:line="400" w:lineRule="exact"/>
              <w:rPr>
                <w:rFonts w:ascii="微软雅黑" w:hAnsi="微软雅黑" w:eastAsia="微软雅黑" w:cs="宋体"/>
                <w:kern w:val="0"/>
                <w:szCs w:val="21"/>
              </w:rPr>
            </w:pPr>
            <w:r>
              <w:rPr>
                <w:rFonts w:ascii="微软雅黑" w:hAnsi="微软雅黑" w:eastAsia="微软雅黑" w:cs="宋体"/>
                <w:kern w:val="0"/>
                <w:szCs w:val="21"/>
              </w:rPr>
              <w:t>2</w:t>
            </w:r>
            <w:r>
              <w:rPr>
                <w:rFonts w:hint="eastAsia" w:ascii="微软雅黑" w:hAnsi="微软雅黑" w:eastAsia="微软雅黑" w:cs="宋体"/>
                <w:kern w:val="0"/>
                <w:szCs w:val="21"/>
              </w:rPr>
              <w:t>.</w:t>
            </w:r>
            <w:r>
              <w:rPr>
                <w:rFonts w:ascii="微软雅黑" w:hAnsi="微软雅黑" w:eastAsia="微软雅黑" w:cs="宋体"/>
                <w:kern w:val="0"/>
                <w:szCs w:val="21"/>
              </w:rPr>
              <w:t>可用性、易用性</w:t>
            </w:r>
            <w:r>
              <w:rPr>
                <w:rFonts w:hint="eastAsia" w:ascii="微软雅黑" w:hAnsi="微软雅黑" w:eastAsia="微软雅黑" w:cs="宋体"/>
                <w:kern w:val="0"/>
                <w:szCs w:val="21"/>
              </w:rPr>
              <w:t>；</w:t>
            </w:r>
          </w:p>
        </w:tc>
        <w:tc>
          <w:tcPr>
            <w:tcW w:w="4447" w:type="dxa"/>
            <w:vMerge w:val="continue"/>
          </w:tcPr>
          <w:p>
            <w:pPr>
              <w:spacing w:line="400" w:lineRule="exact"/>
              <w:rPr>
                <w:rFonts w:ascii="微软雅黑" w:hAnsi="微软雅黑" w:eastAsia="微软雅黑"/>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spacing w:line="400" w:lineRule="exact"/>
              <w:jc w:val="center"/>
              <w:rPr>
                <w:rFonts w:ascii="微软雅黑" w:hAnsi="微软雅黑" w:eastAsia="微软雅黑"/>
                <w:szCs w:val="21"/>
              </w:rPr>
            </w:pPr>
          </w:p>
        </w:tc>
        <w:tc>
          <w:tcPr>
            <w:tcW w:w="1362" w:type="dxa"/>
            <w:vMerge w:val="continue"/>
            <w:vAlign w:val="center"/>
          </w:tcPr>
          <w:p>
            <w:pPr>
              <w:spacing w:line="400" w:lineRule="exact"/>
              <w:jc w:val="center"/>
              <w:rPr>
                <w:rFonts w:ascii="微软雅黑" w:hAnsi="微软雅黑" w:eastAsia="微软雅黑"/>
                <w:szCs w:val="21"/>
              </w:rPr>
            </w:pPr>
          </w:p>
        </w:tc>
        <w:tc>
          <w:tcPr>
            <w:tcW w:w="3543" w:type="dxa"/>
            <w:vAlign w:val="center"/>
          </w:tcPr>
          <w:p>
            <w:pPr>
              <w:spacing w:line="400" w:lineRule="exact"/>
              <w:rPr>
                <w:rFonts w:ascii="微软雅黑" w:hAnsi="微软雅黑" w:eastAsia="微软雅黑" w:cs="宋体"/>
                <w:kern w:val="0"/>
                <w:szCs w:val="21"/>
              </w:rPr>
            </w:pPr>
            <w:r>
              <w:rPr>
                <w:rFonts w:ascii="微软雅黑" w:hAnsi="微软雅黑" w:eastAsia="微软雅黑" w:cs="宋体"/>
                <w:kern w:val="0"/>
                <w:szCs w:val="21"/>
              </w:rPr>
              <w:t>3</w:t>
            </w:r>
            <w:r>
              <w:rPr>
                <w:rFonts w:hint="eastAsia" w:ascii="微软雅黑" w:hAnsi="微软雅黑" w:eastAsia="微软雅黑" w:cs="宋体"/>
                <w:kern w:val="0"/>
                <w:szCs w:val="21"/>
              </w:rPr>
              <w:t>.</w:t>
            </w:r>
            <w:r>
              <w:rPr>
                <w:rFonts w:ascii="微软雅黑" w:hAnsi="微软雅黑" w:eastAsia="微软雅黑" w:cs="宋体"/>
                <w:kern w:val="0"/>
                <w:szCs w:val="21"/>
              </w:rPr>
              <w:t>兼容性、开放性</w:t>
            </w:r>
            <w:r>
              <w:rPr>
                <w:rFonts w:hint="eastAsia" w:ascii="微软雅黑" w:hAnsi="微软雅黑" w:eastAsia="微软雅黑" w:cs="宋体"/>
                <w:kern w:val="0"/>
                <w:szCs w:val="21"/>
              </w:rPr>
              <w:t>；</w:t>
            </w:r>
          </w:p>
        </w:tc>
        <w:tc>
          <w:tcPr>
            <w:tcW w:w="4447" w:type="dxa"/>
            <w:vMerge w:val="continue"/>
          </w:tcPr>
          <w:p>
            <w:pPr>
              <w:spacing w:line="400" w:lineRule="exact"/>
              <w:rPr>
                <w:rFonts w:ascii="微软雅黑" w:hAnsi="微软雅黑" w:eastAsia="微软雅黑"/>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spacing w:line="400" w:lineRule="exact"/>
              <w:jc w:val="center"/>
              <w:rPr>
                <w:rFonts w:ascii="微软雅黑" w:hAnsi="微软雅黑" w:eastAsia="微软雅黑"/>
                <w:szCs w:val="21"/>
              </w:rPr>
            </w:pPr>
          </w:p>
        </w:tc>
        <w:tc>
          <w:tcPr>
            <w:tcW w:w="1362" w:type="dxa"/>
            <w:vMerge w:val="continue"/>
            <w:vAlign w:val="center"/>
          </w:tcPr>
          <w:p>
            <w:pPr>
              <w:spacing w:line="400" w:lineRule="exact"/>
              <w:jc w:val="center"/>
              <w:rPr>
                <w:rFonts w:ascii="微软雅黑" w:hAnsi="微软雅黑" w:eastAsia="微软雅黑"/>
                <w:szCs w:val="21"/>
              </w:rPr>
            </w:pPr>
          </w:p>
        </w:tc>
        <w:tc>
          <w:tcPr>
            <w:tcW w:w="3543" w:type="dxa"/>
            <w:vAlign w:val="center"/>
          </w:tcPr>
          <w:p>
            <w:pPr>
              <w:spacing w:line="400" w:lineRule="exact"/>
              <w:rPr>
                <w:rFonts w:ascii="微软雅黑" w:hAnsi="微软雅黑" w:eastAsia="微软雅黑" w:cs="宋体"/>
                <w:kern w:val="0"/>
                <w:szCs w:val="21"/>
              </w:rPr>
            </w:pPr>
            <w:r>
              <w:rPr>
                <w:rFonts w:ascii="微软雅黑" w:hAnsi="微软雅黑" w:eastAsia="微软雅黑" w:cs="宋体"/>
                <w:kern w:val="0"/>
                <w:szCs w:val="21"/>
              </w:rPr>
              <w:t>4</w:t>
            </w:r>
            <w:r>
              <w:rPr>
                <w:rFonts w:hint="eastAsia" w:ascii="微软雅黑" w:hAnsi="微软雅黑" w:eastAsia="微软雅黑" w:cs="宋体"/>
                <w:kern w:val="0"/>
                <w:szCs w:val="21"/>
              </w:rPr>
              <w:t>.</w:t>
            </w:r>
            <w:r>
              <w:rPr>
                <w:rFonts w:ascii="微软雅黑" w:hAnsi="微软雅黑" w:eastAsia="微软雅黑" w:cs="宋体"/>
                <w:kern w:val="0"/>
                <w:szCs w:val="21"/>
              </w:rPr>
              <w:t>对硬件、耗材要求</w:t>
            </w:r>
            <w:r>
              <w:rPr>
                <w:rFonts w:hint="eastAsia" w:ascii="微软雅黑" w:hAnsi="微软雅黑" w:eastAsia="微软雅黑" w:cs="宋体"/>
                <w:kern w:val="0"/>
                <w:szCs w:val="21"/>
              </w:rPr>
              <w:t>；</w:t>
            </w:r>
          </w:p>
        </w:tc>
        <w:tc>
          <w:tcPr>
            <w:tcW w:w="4447" w:type="dxa"/>
            <w:vMerge w:val="continue"/>
          </w:tcPr>
          <w:p>
            <w:pPr>
              <w:spacing w:line="400" w:lineRule="exact"/>
              <w:rPr>
                <w:rFonts w:ascii="微软雅黑" w:hAnsi="微软雅黑" w:eastAsia="微软雅黑"/>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spacing w:line="400" w:lineRule="exact"/>
              <w:jc w:val="center"/>
              <w:rPr>
                <w:rFonts w:ascii="微软雅黑" w:hAnsi="微软雅黑" w:eastAsia="微软雅黑"/>
                <w:szCs w:val="21"/>
              </w:rPr>
            </w:pPr>
          </w:p>
        </w:tc>
        <w:tc>
          <w:tcPr>
            <w:tcW w:w="1362" w:type="dxa"/>
            <w:vMerge w:val="continue"/>
            <w:vAlign w:val="center"/>
          </w:tcPr>
          <w:p>
            <w:pPr>
              <w:spacing w:line="400" w:lineRule="exact"/>
              <w:jc w:val="center"/>
              <w:rPr>
                <w:rFonts w:ascii="微软雅黑" w:hAnsi="微软雅黑" w:eastAsia="微软雅黑"/>
                <w:szCs w:val="21"/>
              </w:rPr>
            </w:pPr>
          </w:p>
        </w:tc>
        <w:tc>
          <w:tcPr>
            <w:tcW w:w="3543" w:type="dxa"/>
            <w:vAlign w:val="center"/>
          </w:tcPr>
          <w:p>
            <w:pPr>
              <w:spacing w:line="400" w:lineRule="exact"/>
              <w:rPr>
                <w:rFonts w:ascii="微软雅黑" w:hAnsi="微软雅黑" w:eastAsia="微软雅黑" w:cs="宋体"/>
                <w:kern w:val="0"/>
                <w:szCs w:val="21"/>
              </w:rPr>
            </w:pPr>
            <w:r>
              <w:rPr>
                <w:rFonts w:ascii="微软雅黑" w:hAnsi="微软雅黑" w:eastAsia="微软雅黑" w:cs="宋体"/>
                <w:kern w:val="0"/>
                <w:szCs w:val="21"/>
              </w:rPr>
              <w:t>5</w:t>
            </w:r>
            <w:r>
              <w:rPr>
                <w:rFonts w:hint="eastAsia" w:ascii="微软雅黑" w:hAnsi="微软雅黑" w:eastAsia="微软雅黑" w:cs="宋体"/>
                <w:kern w:val="0"/>
                <w:szCs w:val="21"/>
              </w:rPr>
              <w:t>.</w:t>
            </w:r>
            <w:r>
              <w:rPr>
                <w:rFonts w:ascii="微软雅黑" w:hAnsi="微软雅黑" w:eastAsia="微软雅黑" w:cs="宋体"/>
                <w:kern w:val="0"/>
                <w:szCs w:val="21"/>
              </w:rPr>
              <w:t>实施周期</w:t>
            </w:r>
            <w:r>
              <w:rPr>
                <w:rFonts w:hint="eastAsia" w:ascii="微软雅黑" w:hAnsi="微软雅黑" w:eastAsia="微软雅黑" w:cs="宋体"/>
                <w:kern w:val="0"/>
                <w:szCs w:val="21"/>
              </w:rPr>
              <w:t>。</w:t>
            </w:r>
          </w:p>
        </w:tc>
        <w:tc>
          <w:tcPr>
            <w:tcW w:w="4447" w:type="dxa"/>
            <w:vMerge w:val="continue"/>
          </w:tcPr>
          <w:p>
            <w:pPr>
              <w:spacing w:line="400" w:lineRule="exact"/>
              <w:rPr>
                <w:rFonts w:ascii="微软雅黑" w:hAnsi="微软雅黑" w:eastAsia="微软雅黑"/>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679" w:type="dxa"/>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4</w:t>
            </w:r>
          </w:p>
        </w:tc>
        <w:tc>
          <w:tcPr>
            <w:tcW w:w="1362" w:type="dxa"/>
            <w:vAlign w:val="center"/>
          </w:tcPr>
          <w:p>
            <w:pPr>
              <w:spacing w:line="400" w:lineRule="exact"/>
              <w:jc w:val="center"/>
              <w:rPr>
                <w:rFonts w:ascii="微软雅黑" w:hAnsi="微软雅黑" w:eastAsia="微软雅黑"/>
                <w:szCs w:val="21"/>
              </w:rPr>
            </w:pPr>
            <w:r>
              <w:rPr>
                <w:rFonts w:ascii="微软雅黑" w:hAnsi="微软雅黑" w:eastAsia="微软雅黑" w:cs="宋体"/>
                <w:bCs/>
                <w:kern w:val="0"/>
                <w:szCs w:val="21"/>
              </w:rPr>
              <w:t>实施案例</w:t>
            </w:r>
          </w:p>
        </w:tc>
        <w:tc>
          <w:tcPr>
            <w:tcW w:w="3543" w:type="dxa"/>
            <w:vAlign w:val="center"/>
          </w:tcPr>
          <w:p>
            <w:pPr>
              <w:spacing w:line="400" w:lineRule="exact"/>
              <w:rPr>
                <w:rFonts w:ascii="微软雅黑" w:hAnsi="微软雅黑" w:eastAsia="微软雅黑" w:cs="宋体"/>
                <w:kern w:val="0"/>
                <w:szCs w:val="21"/>
              </w:rPr>
            </w:pPr>
            <w:r>
              <w:rPr>
                <w:rFonts w:hint="eastAsia" w:ascii="微软雅黑" w:hAnsi="微软雅黑" w:eastAsia="微软雅黑" w:cs="宋体"/>
                <w:kern w:val="0"/>
                <w:szCs w:val="21"/>
              </w:rPr>
              <w:t>1.</w:t>
            </w:r>
            <w:r>
              <w:rPr>
                <w:rFonts w:ascii="微软雅黑" w:hAnsi="微软雅黑" w:eastAsia="微软雅黑" w:cs="宋体"/>
                <w:kern w:val="0"/>
                <w:szCs w:val="21"/>
              </w:rPr>
              <w:t>成功实施项目数</w:t>
            </w:r>
            <w:r>
              <w:rPr>
                <w:rFonts w:hint="eastAsia" w:ascii="微软雅黑" w:hAnsi="微软雅黑" w:eastAsia="微软雅黑" w:cs="宋体"/>
                <w:kern w:val="0"/>
                <w:szCs w:val="21"/>
              </w:rPr>
              <w:t>及三家成功案例。</w:t>
            </w:r>
          </w:p>
          <w:p>
            <w:pPr>
              <w:spacing w:line="400" w:lineRule="exact"/>
              <w:rPr>
                <w:rFonts w:ascii="微软雅黑" w:hAnsi="微软雅黑" w:eastAsia="微软雅黑" w:cs="宋体"/>
                <w:kern w:val="0"/>
                <w:szCs w:val="21"/>
              </w:rPr>
            </w:pPr>
            <w:r>
              <w:rPr>
                <w:rFonts w:hint="eastAsia" w:ascii="微软雅黑" w:hAnsi="微软雅黑" w:eastAsia="微软雅黑" w:cs="宋体"/>
                <w:kern w:val="0"/>
                <w:szCs w:val="21"/>
              </w:rPr>
              <w:t>（非必备条件）</w:t>
            </w:r>
          </w:p>
        </w:tc>
        <w:tc>
          <w:tcPr>
            <w:tcW w:w="4447" w:type="dxa"/>
          </w:tcPr>
          <w:p>
            <w:pPr>
              <w:spacing w:line="400" w:lineRule="exact"/>
              <w:rPr>
                <w:rFonts w:ascii="微软雅黑" w:hAnsi="微软雅黑" w:eastAsia="微软雅黑"/>
                <w:szCs w:val="21"/>
              </w:rPr>
            </w:pPr>
            <w:r>
              <w:rPr>
                <w:rFonts w:hint="eastAsia" w:ascii="微软雅黑" w:hAnsi="微软雅黑" w:eastAsia="微软雅黑"/>
                <w:szCs w:val="21"/>
              </w:rPr>
              <w:t>提供三家合同（含项目内容清单）复印件。文件以“合作项目+合作单位+合作金额”命名。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679" w:type="dxa"/>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5</w:t>
            </w:r>
          </w:p>
        </w:tc>
        <w:tc>
          <w:tcPr>
            <w:tcW w:w="1362" w:type="dxa"/>
            <w:vAlign w:val="center"/>
          </w:tcPr>
          <w:p>
            <w:pPr>
              <w:spacing w:line="400" w:lineRule="exact"/>
              <w:rPr>
                <w:rFonts w:ascii="微软雅黑" w:hAnsi="微软雅黑" w:eastAsia="微软雅黑" w:cs="宋体"/>
                <w:bCs/>
                <w:kern w:val="0"/>
                <w:szCs w:val="21"/>
              </w:rPr>
            </w:pPr>
            <w:r>
              <w:rPr>
                <w:rFonts w:hint="eastAsia" w:ascii="微软雅黑" w:hAnsi="微软雅黑" w:eastAsia="微软雅黑" w:cs="宋体"/>
                <w:bCs/>
                <w:kern w:val="0"/>
                <w:szCs w:val="21"/>
              </w:rPr>
              <w:t>整体产品和方案介绍</w:t>
            </w:r>
          </w:p>
        </w:tc>
        <w:tc>
          <w:tcPr>
            <w:tcW w:w="3543" w:type="dxa"/>
            <w:vAlign w:val="center"/>
          </w:tcPr>
          <w:p>
            <w:pPr>
              <w:spacing w:line="400" w:lineRule="exact"/>
              <w:jc w:val="center"/>
              <w:rPr>
                <w:rFonts w:ascii="微软雅黑" w:hAnsi="微软雅黑" w:eastAsia="微软雅黑" w:cs="宋体"/>
                <w:bCs/>
                <w:kern w:val="0"/>
                <w:szCs w:val="21"/>
              </w:rPr>
            </w:pPr>
            <w:r>
              <w:rPr>
                <w:rFonts w:hint="eastAsia" w:ascii="微软雅黑" w:hAnsi="微软雅黑" w:eastAsia="微软雅黑" w:cs="宋体"/>
                <w:bCs/>
                <w:kern w:val="0"/>
                <w:szCs w:val="21"/>
              </w:rPr>
              <w:t>主要基于项目需求进行产品及方案介绍、项目实施可达到的效果、产品优势、典型用户（三甲医院）案例等</w:t>
            </w:r>
          </w:p>
        </w:tc>
        <w:tc>
          <w:tcPr>
            <w:tcW w:w="4447" w:type="dxa"/>
          </w:tcPr>
          <w:p>
            <w:pPr>
              <w:spacing w:line="400" w:lineRule="exact"/>
              <w:rPr>
                <w:rFonts w:ascii="微软雅黑" w:hAnsi="微软雅黑" w:eastAsia="微软雅黑"/>
                <w:szCs w:val="21"/>
              </w:rPr>
            </w:pPr>
            <w:r>
              <w:rPr>
                <w:rFonts w:hint="eastAsia" w:ascii="微软雅黑" w:hAnsi="微软雅黑" w:eastAsia="微软雅黑"/>
                <w:szCs w:val="21"/>
              </w:rPr>
              <w:t>（1）视频格式（PPT汇报</w:t>
            </w:r>
            <w:r>
              <w:rPr>
                <w:rFonts w:ascii="微软雅黑" w:hAnsi="微软雅黑" w:eastAsia="微软雅黑"/>
                <w:szCs w:val="21"/>
              </w:rPr>
              <w:t>录屏</w:t>
            </w:r>
            <w:r>
              <w:rPr>
                <w:rFonts w:hint="eastAsia" w:ascii="微软雅黑" w:hAnsi="微软雅黑" w:eastAsia="微软雅黑"/>
                <w:szCs w:val="21"/>
              </w:rPr>
              <w:t>）（视频必须少于3分钟，小于</w:t>
            </w:r>
            <w:r>
              <w:rPr>
                <w:rFonts w:ascii="微软雅黑" w:hAnsi="微软雅黑" w:eastAsia="微软雅黑"/>
                <w:szCs w:val="21"/>
              </w:rPr>
              <w:t>50</w:t>
            </w:r>
            <w:r>
              <w:rPr>
                <w:rFonts w:hint="eastAsia" w:ascii="微软雅黑" w:hAnsi="微软雅黑" w:eastAsia="微软雅黑"/>
                <w:szCs w:val="21"/>
              </w:rPr>
              <w:t>M，影像清晰，声音洪亮）</w:t>
            </w:r>
          </w:p>
          <w:p>
            <w:pPr>
              <w:spacing w:line="400" w:lineRule="exact"/>
              <w:rPr>
                <w:rFonts w:ascii="微软雅黑" w:hAnsi="微软雅黑" w:eastAsia="微软雅黑"/>
                <w:szCs w:val="21"/>
              </w:rPr>
            </w:pPr>
            <w:r>
              <w:rPr>
                <w:rFonts w:hint="eastAsia" w:ascii="微软雅黑" w:hAnsi="微软雅黑" w:eastAsia="微软雅黑"/>
                <w:szCs w:val="21"/>
              </w:rPr>
              <w:t>（2）该视频用于</w:t>
            </w:r>
            <w:r>
              <w:rPr>
                <w:rFonts w:ascii="微软雅黑" w:hAnsi="微软雅黑" w:eastAsia="微软雅黑"/>
                <w:szCs w:val="21"/>
              </w:rPr>
              <w:t>后续的市场调研会汇报，</w:t>
            </w:r>
            <w:r>
              <w:rPr>
                <w:rFonts w:hint="eastAsia" w:ascii="微软雅黑" w:hAnsi="微软雅黑" w:eastAsia="微软雅黑"/>
                <w:szCs w:val="21"/>
              </w:rPr>
              <w:t>视频汇报</w:t>
            </w:r>
            <w:r>
              <w:rPr>
                <w:rFonts w:ascii="微软雅黑" w:hAnsi="微软雅黑" w:eastAsia="微软雅黑"/>
                <w:szCs w:val="21"/>
              </w:rPr>
              <w:t>时间3分钟</w:t>
            </w:r>
            <w:r>
              <w:rPr>
                <w:rFonts w:hint="eastAsia" w:ascii="微软雅黑" w:hAnsi="微软雅黑" w:eastAsia="微软雅黑"/>
                <w:szCs w:val="21"/>
              </w:rPr>
              <w:t>。</w:t>
            </w:r>
          </w:p>
        </w:tc>
      </w:tr>
    </w:tbl>
    <w:p>
      <w:pPr>
        <w:rPr>
          <w:rFonts w:hint="eastAsia" w:ascii="微软雅黑" w:hAnsi="微软雅黑" w:eastAsia="微软雅黑"/>
          <w:szCs w:val="21"/>
        </w:rPr>
      </w:pPr>
      <w:r>
        <w:rPr>
          <w:rFonts w:hint="eastAsia" w:ascii="微软雅黑" w:hAnsi="微软雅黑" w:eastAsia="微软雅黑"/>
          <w:szCs w:val="21"/>
        </w:rPr>
        <w:t>注</w:t>
      </w:r>
      <w:r>
        <w:rPr>
          <w:rFonts w:ascii="微软雅黑" w:hAnsi="微软雅黑" w:eastAsia="微软雅黑"/>
          <w:szCs w:val="21"/>
        </w:rPr>
        <w:t>：</w:t>
      </w:r>
      <w:r>
        <w:rPr>
          <w:rFonts w:hint="eastAsia" w:ascii="微软雅黑" w:hAnsi="微软雅黑" w:eastAsia="微软雅黑"/>
          <w:szCs w:val="21"/>
        </w:rPr>
        <w:t>以上各类型资料</w:t>
      </w:r>
      <w:r>
        <w:rPr>
          <w:rFonts w:ascii="微软雅黑" w:hAnsi="微软雅黑" w:eastAsia="微软雅黑"/>
          <w:szCs w:val="21"/>
        </w:rPr>
        <w:t>的</w:t>
      </w:r>
      <w:r>
        <w:rPr>
          <w:rFonts w:hint="eastAsia" w:ascii="微软雅黑" w:hAnsi="微软雅黑" w:eastAsia="微软雅黑"/>
          <w:szCs w:val="21"/>
        </w:rPr>
        <w:t>文件</w:t>
      </w:r>
      <w:r>
        <w:rPr>
          <w:rFonts w:ascii="微软雅黑" w:hAnsi="微软雅黑" w:eastAsia="微软雅黑"/>
          <w:szCs w:val="21"/>
        </w:rPr>
        <w:t>大小不能</w:t>
      </w:r>
      <w:r>
        <w:rPr>
          <w:rFonts w:hint="eastAsia" w:ascii="微软雅黑" w:hAnsi="微软雅黑" w:eastAsia="微软雅黑"/>
          <w:szCs w:val="21"/>
        </w:rPr>
        <w:t>大于30M，</w:t>
      </w:r>
      <w:r>
        <w:rPr>
          <w:rFonts w:ascii="微软雅黑" w:hAnsi="微软雅黑" w:eastAsia="微软雅黑"/>
          <w:szCs w:val="21"/>
        </w:rPr>
        <w:t>其中Word文档中的所有图片请选择“Web/屏幕”分辨率压缩图片</w:t>
      </w:r>
      <w:r>
        <w:rPr>
          <w:rFonts w:hint="eastAsia" w:ascii="微软雅黑" w:hAnsi="微软雅黑" w:eastAsia="微软雅黑"/>
          <w:szCs w:val="21"/>
        </w:rPr>
        <w:t>。</w:t>
      </w:r>
    </w:p>
    <w:p>
      <w:pPr>
        <w:rPr>
          <w:rFonts w:hint="eastAsia" w:ascii="微软雅黑" w:hAnsi="微软雅黑" w:eastAsia="微软雅黑"/>
          <w:szCs w:val="21"/>
        </w:rPr>
      </w:pPr>
      <w:r>
        <w:rPr>
          <w:rFonts w:hint="eastAsia" w:ascii="微软雅黑" w:hAnsi="微软雅黑" w:eastAsia="微软雅黑"/>
          <w:szCs w:val="21"/>
        </w:rPr>
        <w:br w:type="page"/>
      </w:r>
    </w:p>
    <w:p>
      <w:pPr>
        <w:spacing w:line="360" w:lineRule="auto"/>
        <w:ind w:left="-1" w:leftChars="-67" w:hanging="160" w:hangingChars="50"/>
        <w:jc w:val="both"/>
        <w:rPr>
          <w:rFonts w:ascii="微软雅黑" w:hAnsi="微软雅黑" w:eastAsia="微软雅黑"/>
          <w:b/>
          <w:sz w:val="32"/>
          <w:szCs w:val="32"/>
        </w:rPr>
      </w:pPr>
      <w:r>
        <w:rPr>
          <w:rFonts w:hint="eastAsia" w:ascii="微软雅黑" w:hAnsi="微软雅黑" w:eastAsia="微软雅黑"/>
          <w:b/>
          <w:sz w:val="32"/>
          <w:szCs w:val="32"/>
        </w:rPr>
        <w:t>附件3：报价资料要求</w:t>
      </w:r>
    </w:p>
    <w:p>
      <w:pPr>
        <w:spacing w:line="360" w:lineRule="auto"/>
        <w:jc w:val="center"/>
        <w:rPr>
          <w:rFonts w:ascii="方正小标宋简体" w:hAnsi="方正小标宋简体"/>
          <w:bCs/>
          <w:sz w:val="32"/>
          <w:szCs w:val="32"/>
        </w:rPr>
      </w:pPr>
      <w:r>
        <w:rPr>
          <w:rFonts w:ascii="方正小标宋简体" w:hAnsi="方正小标宋简体"/>
          <w:bCs/>
          <w:sz w:val="44"/>
          <w:szCs w:val="44"/>
        </w:rPr>
        <w:t>报价表</w:t>
      </w:r>
    </w:p>
    <w:p>
      <w:pPr>
        <w:spacing w:line="360" w:lineRule="auto"/>
        <w:rPr>
          <w:rFonts w:ascii="宋体" w:hAnsi="宋体"/>
          <w:bCs/>
          <w:sz w:val="32"/>
          <w:szCs w:val="32"/>
        </w:rPr>
      </w:pPr>
      <w:r>
        <w:rPr>
          <w:rFonts w:hint="eastAsia" w:ascii="宋体" w:hAnsi="宋体"/>
          <w:bCs/>
          <w:spacing w:val="28"/>
          <w:sz w:val="32"/>
          <w:szCs w:val="32"/>
        </w:rPr>
        <w:t>项目名称</w:t>
      </w:r>
      <w:r>
        <w:rPr>
          <w:rFonts w:hint="eastAsia" w:ascii="宋体" w:hAnsi="宋体"/>
          <w:bCs/>
          <w:sz w:val="32"/>
          <w:szCs w:val="32"/>
        </w:rPr>
        <w:t>：</w:t>
      </w:r>
    </w:p>
    <w:p>
      <w:pPr>
        <w:spacing w:line="360" w:lineRule="auto"/>
        <w:rPr>
          <w:rFonts w:ascii="宋体" w:hAnsi="宋体"/>
          <w:bCs/>
          <w:sz w:val="32"/>
          <w:szCs w:val="32"/>
        </w:rPr>
      </w:pPr>
      <w:r>
        <w:rPr>
          <w:rFonts w:hint="eastAsia" w:ascii="宋体" w:hAnsi="宋体"/>
          <w:bCs/>
          <w:spacing w:val="28"/>
          <w:sz w:val="32"/>
          <w:szCs w:val="32"/>
        </w:rPr>
        <w:t>联系人姓名</w:t>
      </w:r>
      <w:r>
        <w:rPr>
          <w:rFonts w:hint="eastAsia" w:ascii="宋体" w:hAnsi="宋体"/>
          <w:bCs/>
          <w:sz w:val="32"/>
          <w:szCs w:val="32"/>
        </w:rPr>
        <w:t>：</w:t>
      </w:r>
    </w:p>
    <w:p>
      <w:pPr>
        <w:spacing w:line="360" w:lineRule="auto"/>
        <w:rPr>
          <w:rFonts w:ascii="宋体" w:hAnsi="宋体"/>
          <w:bCs/>
          <w:sz w:val="32"/>
          <w:szCs w:val="32"/>
        </w:rPr>
      </w:pPr>
      <w:r>
        <w:rPr>
          <w:rFonts w:hint="eastAsia" w:ascii="宋体" w:hAnsi="宋体"/>
          <w:bCs/>
          <w:sz w:val="32"/>
          <w:szCs w:val="32"/>
        </w:rPr>
        <w:t>联系人电话：</w:t>
      </w:r>
    </w:p>
    <w:p>
      <w:pPr>
        <w:spacing w:line="360" w:lineRule="auto"/>
        <w:rPr>
          <w:rFonts w:ascii="宋体" w:hAnsi="宋体"/>
          <w:bCs/>
          <w:sz w:val="32"/>
          <w:szCs w:val="32"/>
        </w:rPr>
      </w:pPr>
      <w:r>
        <w:rPr>
          <w:rFonts w:hint="eastAsia" w:ascii="宋体" w:hAnsi="宋体"/>
          <w:bCs/>
          <w:sz w:val="32"/>
          <w:szCs w:val="32"/>
        </w:rPr>
        <w:t>联系人邮箱</w:t>
      </w:r>
    </w:p>
    <w:p>
      <w:pPr>
        <w:spacing w:line="360" w:lineRule="auto"/>
        <w:rPr>
          <w:rFonts w:ascii="宋体" w:hAnsi="宋体"/>
          <w:bCs/>
          <w:sz w:val="32"/>
          <w:szCs w:val="32"/>
          <w:u w:val="single"/>
        </w:rPr>
      </w:pPr>
      <w:r>
        <w:rPr>
          <w:rFonts w:hint="eastAsia" w:ascii="宋体" w:hAnsi="宋体"/>
          <w:bCs/>
          <w:sz w:val="32"/>
          <w:szCs w:val="32"/>
        </w:rPr>
        <w:t>供应商名称：</w:t>
      </w:r>
    </w:p>
    <w:p>
      <w:pPr>
        <w:spacing w:line="360" w:lineRule="auto"/>
        <w:rPr>
          <w:rFonts w:ascii="宋体" w:hAnsi="宋体"/>
          <w:b/>
          <w:sz w:val="32"/>
          <w:szCs w:val="32"/>
        </w:rPr>
      </w:pPr>
    </w:p>
    <w:p>
      <w:pPr>
        <w:pStyle w:val="2"/>
      </w:pPr>
      <w:r>
        <w:t xml:space="preserve"> </w:t>
      </w:r>
    </w:p>
    <w:tbl>
      <w:tblPr>
        <w:tblStyle w:val="14"/>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32"/>
                <w:szCs w:val="32"/>
              </w:rPr>
            </w:pPr>
            <w:r>
              <w:rPr>
                <w:rFonts w:hint="eastAsia" w:ascii="黑体" w:hAnsi="黑体" w:eastAsia="黑体"/>
                <w:sz w:val="32"/>
                <w:szCs w:val="32"/>
              </w:rPr>
              <w:t>总报价</w:t>
            </w:r>
          </w:p>
        </w:tc>
        <w:tc>
          <w:tcPr>
            <w:tcW w:w="7029" w:type="dxa"/>
            <w:tcBorders>
              <w:top w:val="single" w:color="auto" w:sz="4" w:space="0"/>
              <w:left w:val="single" w:color="auto" w:sz="4" w:space="0"/>
              <w:bottom w:val="single" w:color="auto" w:sz="4" w:space="0"/>
              <w:right w:val="single" w:color="auto" w:sz="4" w:space="0"/>
            </w:tcBorders>
            <w:vAlign w:val="center"/>
          </w:tcPr>
          <w:p>
            <w:pPr>
              <w:rPr>
                <w:rFonts w:ascii="宋体" w:hAnsi="宋体"/>
                <w:sz w:val="32"/>
                <w:szCs w:val="32"/>
              </w:rPr>
            </w:pPr>
            <w:r>
              <w:rPr>
                <w:rFonts w:hint="eastAsia" w:ascii="宋体" w:hAnsi="宋体"/>
                <w:sz w:val="32"/>
                <w:szCs w:val="32"/>
              </w:rPr>
              <w:t>大写：人民币</w:t>
            </w:r>
            <w:r>
              <w:rPr>
                <w:rFonts w:hint="eastAsia" w:ascii="宋体" w:hAnsi="宋体"/>
                <w:sz w:val="32"/>
                <w:szCs w:val="32"/>
                <w:u w:val="single"/>
              </w:rPr>
              <w:t xml:space="preserve">                       </w:t>
            </w:r>
            <w:r>
              <w:rPr>
                <w:rFonts w:hint="eastAsia" w:ascii="宋体" w:hAnsi="宋体"/>
                <w:sz w:val="32"/>
                <w:szCs w:val="32"/>
              </w:rPr>
              <w:t>元</w:t>
            </w:r>
          </w:p>
          <w:p>
            <w:pPr>
              <w:rPr>
                <w:rFonts w:ascii="宋体" w:hAnsi="宋体"/>
                <w:sz w:val="32"/>
                <w:szCs w:val="32"/>
              </w:rPr>
            </w:pPr>
            <w:r>
              <w:rPr>
                <w:rFonts w:hint="eastAsia" w:ascii="宋体" w:hAnsi="宋体"/>
                <w:sz w:val="32"/>
                <w:szCs w:val="32"/>
              </w:rPr>
              <w:t>（小写：¥</w:t>
            </w:r>
            <w:r>
              <w:rPr>
                <w:rFonts w:hint="eastAsia" w:ascii="宋体" w:hAnsi="宋体"/>
                <w:sz w:val="32"/>
                <w:szCs w:val="32"/>
                <w:u w:val="single"/>
              </w:rPr>
              <w:t xml:space="preserve">                </w:t>
            </w:r>
            <w:r>
              <w:rPr>
                <w:rFonts w:hint="eastAsia" w:ascii="宋体" w:hAnsi="宋体"/>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32"/>
                <w:szCs w:val="32"/>
              </w:rPr>
            </w:pPr>
            <w:r>
              <w:rPr>
                <w:rFonts w:hint="eastAsia" w:ascii="黑体" w:hAnsi="黑体" w:eastAsia="黑体"/>
                <w:sz w:val="32"/>
                <w:szCs w:val="32"/>
              </w:rPr>
              <w:t>备注</w:t>
            </w:r>
          </w:p>
        </w:tc>
        <w:tc>
          <w:tcPr>
            <w:tcW w:w="7029" w:type="dxa"/>
            <w:tcBorders>
              <w:top w:val="single" w:color="auto" w:sz="4" w:space="0"/>
              <w:left w:val="single" w:color="auto" w:sz="4" w:space="0"/>
              <w:bottom w:val="single" w:color="auto" w:sz="4" w:space="0"/>
              <w:right w:val="single" w:color="auto" w:sz="4" w:space="0"/>
            </w:tcBorders>
            <w:vAlign w:val="center"/>
          </w:tcPr>
          <w:p>
            <w:pPr>
              <w:rPr>
                <w:rFonts w:ascii="宋体" w:hAnsi="宋体"/>
                <w:sz w:val="32"/>
                <w:szCs w:val="32"/>
              </w:rPr>
            </w:pPr>
          </w:p>
        </w:tc>
      </w:tr>
    </w:tbl>
    <w:p>
      <w:pPr>
        <w:spacing w:line="360" w:lineRule="auto"/>
        <w:ind w:left="4860" w:leftChars="2025"/>
        <w:rPr>
          <w:rFonts w:ascii="宋体" w:hAnsi="宋体"/>
          <w:sz w:val="32"/>
          <w:szCs w:val="32"/>
        </w:rPr>
      </w:pPr>
      <w:r>
        <w:rPr>
          <w:rFonts w:hint="eastAsia" w:ascii="宋体" w:hAnsi="宋体"/>
          <w:sz w:val="32"/>
          <w:szCs w:val="32"/>
        </w:rPr>
        <w:t xml:space="preserve"> </w:t>
      </w:r>
    </w:p>
    <w:p>
      <w:pPr>
        <w:pStyle w:val="6"/>
        <w:rPr>
          <w:rFonts w:ascii="宋体" w:hAnsi="宋体"/>
          <w:sz w:val="32"/>
          <w:szCs w:val="32"/>
        </w:rPr>
      </w:pPr>
      <w:r>
        <w:rPr>
          <w:rFonts w:hint="eastAsia" w:ascii="宋体" w:hAnsi="宋体"/>
          <w:sz w:val="32"/>
          <w:szCs w:val="32"/>
        </w:rPr>
        <w:t xml:space="preserve"> </w:t>
      </w:r>
    </w:p>
    <w:p>
      <w:pPr>
        <w:spacing w:line="360" w:lineRule="auto"/>
        <w:ind w:left="4860" w:leftChars="2025"/>
        <w:rPr>
          <w:rFonts w:ascii="宋体" w:hAnsi="宋体"/>
          <w:sz w:val="32"/>
          <w:szCs w:val="32"/>
        </w:rPr>
      </w:pPr>
      <w:r>
        <w:rPr>
          <w:rFonts w:hint="eastAsia" w:ascii="宋体" w:hAnsi="宋体"/>
          <w:sz w:val="32"/>
          <w:szCs w:val="32"/>
        </w:rPr>
        <w:t>供应商（单位公章）：</w:t>
      </w:r>
    </w:p>
    <w:p>
      <w:pPr>
        <w:spacing w:line="360" w:lineRule="auto"/>
        <w:ind w:left="4860" w:leftChars="2025"/>
        <w:rPr>
          <w:rFonts w:ascii="宋体" w:hAnsi="宋体"/>
          <w:sz w:val="32"/>
          <w:szCs w:val="32"/>
        </w:rPr>
      </w:pPr>
      <w:r>
        <w:rPr>
          <w:rFonts w:hint="eastAsia" w:ascii="宋体" w:hAnsi="宋体"/>
          <w:sz w:val="32"/>
          <w:szCs w:val="32"/>
        </w:rPr>
        <w:t>日期：    年   月   日</w:t>
      </w:r>
    </w:p>
    <w:p>
      <w:pPr>
        <w:pStyle w:val="8"/>
        <w:spacing w:line="360" w:lineRule="auto"/>
        <w:rPr>
          <w:rFonts w:hAnsi="宋体"/>
          <w:sz w:val="28"/>
          <w:szCs w:val="28"/>
        </w:rPr>
      </w:pPr>
      <w:r>
        <w:rPr>
          <w:rFonts w:hint="eastAsia" w:hAnsi="宋体"/>
          <w:sz w:val="21"/>
          <w:szCs w:val="21"/>
        </w:rPr>
        <w:t xml:space="preserve"> </w:t>
      </w:r>
      <w:bookmarkStart w:id="4" w:name="_GoBack"/>
      <w:bookmarkEnd w:id="4"/>
    </w:p>
    <w:p>
      <w:pPr>
        <w:pStyle w:val="8"/>
        <w:spacing w:line="360" w:lineRule="auto"/>
        <w:rPr>
          <w:rFonts w:hAnsi="宋体"/>
          <w:sz w:val="28"/>
          <w:szCs w:val="28"/>
        </w:rPr>
      </w:pPr>
      <w:r>
        <w:rPr>
          <w:rFonts w:hint="eastAsia" w:hAnsi="宋体"/>
          <w:sz w:val="28"/>
          <w:szCs w:val="28"/>
        </w:rPr>
        <w:t xml:space="preserve"> </w:t>
      </w:r>
    </w:p>
    <w:p>
      <w:pPr>
        <w:pStyle w:val="8"/>
        <w:ind w:left="720" w:hanging="720" w:hangingChars="300"/>
        <w:rPr>
          <w:rFonts w:hAnsi="宋体"/>
          <w:sz w:val="24"/>
          <w:szCs w:val="24"/>
        </w:rPr>
      </w:pPr>
      <w:r>
        <w:rPr>
          <w:rFonts w:hint="eastAsia" w:hAnsi="宋体"/>
          <w:sz w:val="24"/>
          <w:szCs w:val="24"/>
        </w:rPr>
        <w:t>注：1.填写此表时不得改变表格的形式。如有其他特殊说明事项，可在“备注”栏内明确表述。</w:t>
      </w:r>
    </w:p>
    <w:p>
      <w:pPr>
        <w:pStyle w:val="8"/>
        <w:ind w:left="868" w:leftChars="238" w:hanging="297" w:hangingChars="124"/>
        <w:rPr>
          <w:rFonts w:hAnsi="宋体"/>
          <w:sz w:val="24"/>
          <w:szCs w:val="24"/>
        </w:rPr>
      </w:pPr>
      <w:r>
        <w:rPr>
          <w:rFonts w:hint="eastAsia" w:hAnsi="宋体"/>
          <w:sz w:val="24"/>
          <w:szCs w:val="24"/>
        </w:rPr>
        <w:t>2.温馨提示：中文大写金额用汉字表述，如壹、贰、叁、肆、伍、陆、柒、捌、玖、拾、佰、仟、万、亿、元、角、分、零、整（正）等。</w:t>
      </w:r>
    </w:p>
    <w:p>
      <w:pPr>
        <w:widowControl/>
        <w:spacing w:line="520" w:lineRule="exact"/>
        <w:jc w:val="center"/>
        <w:rPr>
          <w:rFonts w:ascii="方正小标宋简体" w:hAnsi="方正小标宋简体"/>
          <w:bCs/>
          <w:sz w:val="44"/>
          <w:szCs w:val="44"/>
        </w:rPr>
      </w:pPr>
      <w:r>
        <w:rPr>
          <w:rFonts w:hAnsi="宋体" w:cs="宋体"/>
        </w:rPr>
        <w:br w:type="page"/>
      </w:r>
      <w:r>
        <w:rPr>
          <w:rFonts w:ascii="方正小标宋简体" w:hAnsi="方正小标宋简体"/>
          <w:bCs/>
          <w:sz w:val="44"/>
          <w:szCs w:val="44"/>
        </w:rPr>
        <w:t>分项报价表</w:t>
      </w:r>
    </w:p>
    <w:p>
      <w:pPr>
        <w:spacing w:line="360" w:lineRule="auto"/>
        <w:rPr>
          <w:rFonts w:ascii="宋体" w:hAnsi="宋体"/>
          <w:bCs/>
          <w:sz w:val="32"/>
          <w:szCs w:val="32"/>
        </w:rPr>
      </w:pPr>
      <w:r>
        <w:rPr>
          <w:rFonts w:hint="eastAsia" w:ascii="宋体" w:hAnsi="宋体"/>
          <w:bCs/>
          <w:sz w:val="32"/>
          <w:szCs w:val="32"/>
        </w:rPr>
        <w:t xml:space="preserve"> </w:t>
      </w:r>
    </w:p>
    <w:p>
      <w:pPr>
        <w:spacing w:line="360" w:lineRule="auto"/>
        <w:rPr>
          <w:rFonts w:ascii="宋体" w:hAnsi="宋体"/>
          <w:bCs/>
          <w:sz w:val="32"/>
          <w:szCs w:val="32"/>
          <w:u w:val="single"/>
        </w:rPr>
      </w:pPr>
      <w:r>
        <w:rPr>
          <w:rFonts w:hint="eastAsia" w:ascii="宋体" w:hAnsi="宋体"/>
          <w:bCs/>
          <w:sz w:val="32"/>
          <w:szCs w:val="32"/>
        </w:rPr>
        <w:t>项目名称：</w:t>
      </w:r>
    </w:p>
    <w:p>
      <w:pPr>
        <w:spacing w:line="360" w:lineRule="auto"/>
        <w:rPr>
          <w:rFonts w:ascii="宋体" w:hAnsi="宋体"/>
          <w:kern w:val="0"/>
          <w:sz w:val="32"/>
          <w:szCs w:val="32"/>
        </w:rPr>
      </w:pPr>
      <w:r>
        <w:rPr>
          <w:rFonts w:hint="eastAsia" w:ascii="宋体" w:hAnsi="宋体"/>
          <w:bCs/>
          <w:sz w:val="32"/>
          <w:szCs w:val="32"/>
        </w:rPr>
        <w:t>供应商名称：</w:t>
      </w:r>
    </w:p>
    <w:p>
      <w:pPr>
        <w:spacing w:line="360" w:lineRule="auto"/>
        <w:rPr>
          <w:rFonts w:ascii="宋体" w:hAnsi="宋体"/>
          <w:sz w:val="32"/>
          <w:szCs w:val="32"/>
        </w:rPr>
      </w:pPr>
      <w:r>
        <w:rPr>
          <w:rFonts w:hint="eastAsia" w:ascii="宋体" w:hAnsi="宋体"/>
          <w:kern w:val="0"/>
          <w:sz w:val="32"/>
          <w:szCs w:val="32"/>
        </w:rPr>
        <w:t xml:space="preserve">                                    </w:t>
      </w:r>
    </w:p>
    <w:tbl>
      <w:tblPr>
        <w:tblStyle w:val="14"/>
        <w:tblW w:w="8781" w:type="dxa"/>
        <w:jc w:val="center"/>
        <w:tblLayout w:type="fixed"/>
        <w:tblCellMar>
          <w:top w:w="0" w:type="dxa"/>
          <w:left w:w="108" w:type="dxa"/>
          <w:bottom w:w="0" w:type="dxa"/>
          <w:right w:w="108" w:type="dxa"/>
        </w:tblCellMar>
      </w:tblPr>
      <w:tblGrid>
        <w:gridCol w:w="1074"/>
        <w:gridCol w:w="57"/>
        <w:gridCol w:w="1975"/>
        <w:gridCol w:w="1668"/>
        <w:gridCol w:w="993"/>
        <w:gridCol w:w="992"/>
        <w:gridCol w:w="2022"/>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黑体" w:hAnsi="黑体" w:eastAsia="黑体"/>
                <w:color w:val="000000"/>
                <w:kern w:val="0"/>
                <w:sz w:val="28"/>
                <w:szCs w:val="28"/>
              </w:rPr>
            </w:pPr>
            <w:r>
              <w:rPr>
                <w:rFonts w:hint="eastAsia" w:ascii="黑体" w:hAnsi="黑体" w:eastAsia="黑体"/>
                <w:color w:val="000000"/>
                <w:kern w:val="0"/>
                <w:sz w:val="28"/>
                <w:szCs w:val="28"/>
              </w:rPr>
              <w:t>序号</w:t>
            </w:r>
          </w:p>
        </w:tc>
        <w:tc>
          <w:tcPr>
            <w:tcW w:w="2032"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olor w:val="000000"/>
                <w:kern w:val="0"/>
                <w:sz w:val="28"/>
                <w:szCs w:val="28"/>
              </w:rPr>
            </w:pPr>
            <w:r>
              <w:rPr>
                <w:rFonts w:hint="eastAsia" w:ascii="黑体" w:hAnsi="黑体" w:eastAsia="黑体"/>
                <w:color w:val="000000"/>
                <w:kern w:val="0"/>
                <w:sz w:val="28"/>
                <w:szCs w:val="28"/>
              </w:rPr>
              <w:t>分项</w:t>
            </w:r>
          </w:p>
        </w:tc>
        <w:tc>
          <w:tcPr>
            <w:tcW w:w="16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黑体" w:hAnsi="黑体" w:eastAsia="黑体"/>
                <w:color w:val="000000"/>
                <w:kern w:val="0"/>
                <w:sz w:val="28"/>
                <w:szCs w:val="28"/>
              </w:rPr>
            </w:pPr>
            <w:r>
              <w:rPr>
                <w:rFonts w:hint="eastAsia" w:ascii="黑体" w:hAnsi="黑体" w:eastAsia="黑体"/>
                <w:color w:val="000000"/>
                <w:kern w:val="0"/>
                <w:sz w:val="28"/>
                <w:szCs w:val="28"/>
              </w:rPr>
              <w:t>规格/型号</w:t>
            </w:r>
          </w:p>
        </w:tc>
        <w:tc>
          <w:tcPr>
            <w:tcW w:w="99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黑体" w:hAnsi="黑体" w:eastAsia="黑体"/>
                <w:color w:val="000000"/>
                <w:kern w:val="0"/>
                <w:sz w:val="28"/>
                <w:szCs w:val="28"/>
              </w:rPr>
            </w:pPr>
            <w:r>
              <w:rPr>
                <w:rFonts w:hint="eastAsia" w:ascii="黑体" w:hAnsi="黑体" w:eastAsia="黑体"/>
                <w:color w:val="000000"/>
                <w:kern w:val="0"/>
                <w:sz w:val="28"/>
                <w:szCs w:val="28"/>
              </w:rPr>
              <w:t>数量</w:t>
            </w: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黑体" w:hAnsi="黑体" w:eastAsia="黑体"/>
                <w:color w:val="000000"/>
                <w:kern w:val="0"/>
                <w:sz w:val="28"/>
                <w:szCs w:val="28"/>
              </w:rPr>
            </w:pPr>
            <w:r>
              <w:rPr>
                <w:rFonts w:hint="eastAsia" w:ascii="黑体" w:hAnsi="黑体" w:eastAsia="黑体"/>
                <w:color w:val="000000"/>
                <w:kern w:val="0"/>
                <w:sz w:val="28"/>
                <w:szCs w:val="28"/>
              </w:rPr>
              <w:t>单位</w:t>
            </w:r>
          </w:p>
        </w:tc>
        <w:tc>
          <w:tcPr>
            <w:tcW w:w="2022"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olor w:val="000000"/>
                <w:kern w:val="0"/>
                <w:sz w:val="28"/>
                <w:szCs w:val="28"/>
              </w:rPr>
            </w:pPr>
            <w:r>
              <w:rPr>
                <w:rFonts w:hint="eastAsia" w:ascii="黑体" w:hAnsi="黑体" w:eastAsia="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r>
              <w:rPr>
                <w:rFonts w:hint="eastAsia" w:ascii="宋体" w:hAnsi="宋体"/>
                <w:color w:val="000000"/>
                <w:kern w:val="0"/>
                <w:sz w:val="28"/>
                <w:szCs w:val="28"/>
              </w:rPr>
              <w:t>1</w:t>
            </w:r>
          </w:p>
        </w:tc>
        <w:tc>
          <w:tcPr>
            <w:tcW w:w="2032"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olor w:val="000000"/>
                <w:kern w:val="0"/>
                <w:sz w:val="28"/>
                <w:szCs w:val="28"/>
              </w:rPr>
            </w:pPr>
          </w:p>
        </w:tc>
        <w:tc>
          <w:tcPr>
            <w:tcW w:w="16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c>
          <w:tcPr>
            <w:tcW w:w="99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c>
          <w:tcPr>
            <w:tcW w:w="2022"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r>
              <w:rPr>
                <w:rFonts w:hint="eastAsia" w:ascii="宋体" w:hAnsi="宋体"/>
                <w:color w:val="000000"/>
                <w:kern w:val="0"/>
                <w:sz w:val="28"/>
                <w:szCs w:val="28"/>
              </w:rPr>
              <w:t>2</w:t>
            </w:r>
          </w:p>
        </w:tc>
        <w:tc>
          <w:tcPr>
            <w:tcW w:w="2032"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hAnsi="宋体"/>
                <w:color w:val="000000"/>
                <w:kern w:val="0"/>
                <w:sz w:val="28"/>
                <w:szCs w:val="28"/>
              </w:rPr>
            </w:pPr>
          </w:p>
        </w:tc>
        <w:tc>
          <w:tcPr>
            <w:tcW w:w="16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c>
          <w:tcPr>
            <w:tcW w:w="99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c>
          <w:tcPr>
            <w:tcW w:w="992"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c>
          <w:tcPr>
            <w:tcW w:w="2022" w:type="dxa"/>
            <w:tcBorders>
              <w:top w:val="nil"/>
              <w:left w:val="nil"/>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r>
              <w:rPr>
                <w:rFonts w:hint="eastAsia" w:ascii="宋体" w:hAnsi="宋体"/>
                <w:color w:val="000000"/>
                <w:kern w:val="0"/>
                <w:sz w:val="28"/>
                <w:szCs w:val="28"/>
              </w:rPr>
              <w:t>3</w:t>
            </w:r>
          </w:p>
        </w:tc>
        <w:tc>
          <w:tcPr>
            <w:tcW w:w="2032"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hAnsi="宋体"/>
                <w:color w:val="000000"/>
                <w:kern w:val="0"/>
                <w:sz w:val="28"/>
                <w:szCs w:val="28"/>
              </w:rPr>
            </w:pPr>
          </w:p>
        </w:tc>
        <w:tc>
          <w:tcPr>
            <w:tcW w:w="16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c>
          <w:tcPr>
            <w:tcW w:w="99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c>
          <w:tcPr>
            <w:tcW w:w="992"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c>
          <w:tcPr>
            <w:tcW w:w="2022" w:type="dxa"/>
            <w:tcBorders>
              <w:top w:val="nil"/>
              <w:left w:val="nil"/>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r>
              <w:rPr>
                <w:rFonts w:hint="eastAsia" w:ascii="宋体" w:hAnsi="宋体"/>
                <w:color w:val="000000"/>
                <w:kern w:val="0"/>
                <w:sz w:val="28"/>
                <w:szCs w:val="28"/>
              </w:rPr>
              <w:t>4</w:t>
            </w:r>
          </w:p>
        </w:tc>
        <w:tc>
          <w:tcPr>
            <w:tcW w:w="2032"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hAnsi="宋体"/>
                <w:color w:val="000000"/>
                <w:kern w:val="0"/>
                <w:sz w:val="28"/>
                <w:szCs w:val="28"/>
              </w:rPr>
            </w:pPr>
          </w:p>
        </w:tc>
        <w:tc>
          <w:tcPr>
            <w:tcW w:w="16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c>
          <w:tcPr>
            <w:tcW w:w="99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c>
          <w:tcPr>
            <w:tcW w:w="992"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c>
          <w:tcPr>
            <w:tcW w:w="2022" w:type="dxa"/>
            <w:tcBorders>
              <w:top w:val="nil"/>
              <w:left w:val="nil"/>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r>
              <w:rPr>
                <w:rFonts w:hint="eastAsia" w:ascii="宋体" w:hAnsi="宋体"/>
                <w:color w:val="000000"/>
                <w:kern w:val="0"/>
                <w:sz w:val="28"/>
                <w:szCs w:val="28"/>
              </w:rPr>
              <w:t>5</w:t>
            </w:r>
          </w:p>
        </w:tc>
        <w:tc>
          <w:tcPr>
            <w:tcW w:w="2032"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hAnsi="宋体"/>
                <w:color w:val="000000"/>
                <w:kern w:val="0"/>
                <w:sz w:val="28"/>
                <w:szCs w:val="28"/>
              </w:rPr>
            </w:pPr>
          </w:p>
        </w:tc>
        <w:tc>
          <w:tcPr>
            <w:tcW w:w="16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c>
          <w:tcPr>
            <w:tcW w:w="99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c>
          <w:tcPr>
            <w:tcW w:w="992"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c>
          <w:tcPr>
            <w:tcW w:w="2022" w:type="dxa"/>
            <w:tcBorders>
              <w:top w:val="nil"/>
              <w:left w:val="nil"/>
              <w:bottom w:val="single" w:color="auto" w:sz="4" w:space="0"/>
              <w:right w:val="single" w:color="auto" w:sz="4" w:space="0"/>
            </w:tcBorders>
          </w:tcPr>
          <w:p>
            <w:pPr>
              <w:widowControl/>
              <w:spacing w:line="360" w:lineRule="auto"/>
              <w:jc w:val="center"/>
              <w:rPr>
                <w:rFonts w:ascii="宋体" w:hAnsi="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131"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b/>
                <w:bCs/>
                <w:sz w:val="28"/>
                <w:szCs w:val="28"/>
              </w:rPr>
            </w:pPr>
          </w:p>
        </w:tc>
        <w:tc>
          <w:tcPr>
            <w:tcW w:w="5628"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b/>
                <w:bCs/>
                <w:color w:val="000000"/>
                <w:kern w:val="0"/>
                <w:sz w:val="28"/>
                <w:szCs w:val="28"/>
              </w:rPr>
            </w:pPr>
            <w:r>
              <w:rPr>
                <w:rFonts w:hint="eastAsia" w:ascii="宋体" w:hAnsi="宋体"/>
                <w:b/>
                <w:bCs/>
                <w:sz w:val="28"/>
                <w:szCs w:val="28"/>
              </w:rPr>
              <w:t>总报价（人民币）</w:t>
            </w:r>
          </w:p>
        </w:tc>
        <w:tc>
          <w:tcPr>
            <w:tcW w:w="2022" w:type="dxa"/>
            <w:tcBorders>
              <w:top w:val="single" w:color="auto" w:sz="4" w:space="0"/>
              <w:left w:val="nil"/>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XXX元</w:t>
            </w:r>
          </w:p>
        </w:tc>
      </w:tr>
    </w:tbl>
    <w:p>
      <w:pPr>
        <w:pStyle w:val="32"/>
        <w:ind w:firstLine="0" w:firstLineChars="0"/>
        <w:rPr>
          <w:rFonts w:ascii="宋体" w:hAnsi="宋体"/>
          <w:sz w:val="28"/>
          <w:szCs w:val="28"/>
        </w:rPr>
      </w:pPr>
      <w:r>
        <w:rPr>
          <w:rFonts w:hint="eastAsia" w:ascii="宋体" w:hAnsi="宋体"/>
          <w:sz w:val="28"/>
          <w:szCs w:val="28"/>
        </w:rPr>
        <w:t xml:space="preserve"> </w:t>
      </w:r>
    </w:p>
    <w:p>
      <w:pPr>
        <w:pStyle w:val="32"/>
        <w:spacing w:line="360" w:lineRule="auto"/>
        <w:ind w:left="360" w:firstLine="0" w:firstLineChars="0"/>
        <w:rPr>
          <w:rFonts w:ascii="宋体" w:hAnsi="宋体"/>
        </w:rPr>
      </w:pPr>
      <w:r>
        <w:rPr>
          <w:rFonts w:hint="eastAsia" w:ascii="宋体" w:hAnsi="宋体"/>
        </w:rPr>
        <w:t xml:space="preserve"> </w:t>
      </w:r>
    </w:p>
    <w:p>
      <w:pPr>
        <w:spacing w:line="360" w:lineRule="auto"/>
        <w:ind w:left="4860" w:leftChars="2025"/>
        <w:rPr>
          <w:rFonts w:ascii="宋体" w:hAnsi="宋体"/>
          <w:sz w:val="32"/>
          <w:szCs w:val="32"/>
        </w:rPr>
      </w:pPr>
      <w:r>
        <w:rPr>
          <w:rFonts w:hint="eastAsia" w:ascii="宋体" w:hAnsi="宋体"/>
          <w:sz w:val="32"/>
          <w:szCs w:val="32"/>
        </w:rPr>
        <w:t>供应商（单位公章）：</w:t>
      </w:r>
    </w:p>
    <w:p>
      <w:pPr>
        <w:spacing w:line="360" w:lineRule="auto"/>
        <w:ind w:left="4860" w:leftChars="2025"/>
        <w:rPr>
          <w:rFonts w:ascii="宋体" w:hAnsi="宋体"/>
          <w:sz w:val="32"/>
          <w:szCs w:val="32"/>
        </w:rPr>
      </w:pPr>
      <w:r>
        <w:rPr>
          <w:rFonts w:hint="eastAsia" w:ascii="宋体" w:hAnsi="宋体"/>
          <w:sz w:val="32"/>
          <w:szCs w:val="32"/>
        </w:rPr>
        <w:t>日期：    年   月   日</w:t>
      </w:r>
    </w:p>
    <w:p>
      <w:pPr>
        <w:spacing w:line="273" w:lineRule="auto"/>
        <w:rPr>
          <w:rFonts w:ascii="宋体" w:hAnsi="宋体"/>
        </w:rPr>
      </w:pPr>
      <w:r>
        <w:rPr>
          <w:rFonts w:hint="eastAsia" w:ascii="宋体" w:hAnsi="宋体"/>
        </w:rPr>
        <w:t xml:space="preserve"> </w:t>
      </w:r>
    </w:p>
    <w:p>
      <w:pPr>
        <w:pStyle w:val="2"/>
      </w:pPr>
      <w:r>
        <w:t xml:space="preserve"> </w:t>
      </w:r>
    </w:p>
    <w:p>
      <w:r>
        <w:t xml:space="preserve"> </w:t>
      </w:r>
    </w:p>
    <w:p>
      <w:r>
        <w:t xml:space="preserve"> </w:t>
      </w:r>
    </w:p>
    <w:p>
      <w:pPr>
        <w:pStyle w:val="8"/>
        <w:ind w:firstLine="480" w:firstLineChars="200"/>
        <w:rPr>
          <w:rFonts w:hAnsi="宋体"/>
          <w:sz w:val="24"/>
          <w:szCs w:val="24"/>
        </w:rPr>
      </w:pPr>
      <w:r>
        <w:rPr>
          <w:rFonts w:hint="eastAsia" w:hAnsi="宋体"/>
          <w:sz w:val="24"/>
          <w:szCs w:val="24"/>
        </w:rPr>
        <w:t>注：1</w:t>
      </w:r>
      <w:r>
        <w:rPr>
          <w:rFonts w:hAnsi="宋体"/>
          <w:sz w:val="24"/>
          <w:szCs w:val="24"/>
        </w:rPr>
        <w:t>.</w:t>
      </w:r>
      <w:r>
        <w:rPr>
          <w:rFonts w:hint="eastAsia" w:hAnsi="宋体"/>
          <w:sz w:val="24"/>
          <w:szCs w:val="24"/>
        </w:rPr>
        <w:t>供应商在此表中漏报、少报的费用，均视为已隐含在总报价中，采购方无须再向供应商支付总报价之外的任何费用。</w:t>
      </w:r>
    </w:p>
    <w:p>
      <w:pPr>
        <w:pStyle w:val="8"/>
        <w:ind w:firstLine="480" w:firstLineChars="200"/>
        <w:rPr>
          <w:rFonts w:hAnsi="宋体"/>
          <w:sz w:val="24"/>
          <w:szCs w:val="24"/>
        </w:rPr>
      </w:pPr>
      <w:r>
        <w:rPr>
          <w:rFonts w:hint="eastAsia" w:hAnsi="宋体"/>
          <w:sz w:val="24"/>
          <w:szCs w:val="24"/>
        </w:rPr>
        <w:t xml:space="preserve">    2.如</w:t>
      </w:r>
      <w:r>
        <w:rPr>
          <w:rFonts w:hAnsi="宋体"/>
          <w:sz w:val="24"/>
          <w:szCs w:val="24"/>
        </w:rPr>
        <w:t>项目为硬件采购，请在</w:t>
      </w:r>
      <w:r>
        <w:rPr>
          <w:rFonts w:hint="eastAsia" w:hAnsi="宋体"/>
          <w:sz w:val="24"/>
          <w:szCs w:val="24"/>
        </w:rPr>
        <w:t>以上</w:t>
      </w:r>
      <w:r>
        <w:rPr>
          <w:rFonts w:hAnsi="宋体"/>
          <w:sz w:val="24"/>
          <w:szCs w:val="24"/>
        </w:rPr>
        <w:t>表格中补充设备</w:t>
      </w:r>
      <w:r>
        <w:rPr>
          <w:rFonts w:hint="eastAsia" w:hAnsi="宋体"/>
          <w:sz w:val="24"/>
          <w:szCs w:val="24"/>
        </w:rPr>
        <w:t>规格</w:t>
      </w:r>
      <w:r>
        <w:rPr>
          <w:rFonts w:hAnsi="宋体"/>
          <w:sz w:val="24"/>
          <w:szCs w:val="24"/>
        </w:rPr>
        <w:t>及型号。</w:t>
      </w:r>
    </w:p>
    <w:p>
      <w:pPr>
        <w:rPr>
          <w:rFonts w:hint="eastAsia" w:ascii="微软雅黑" w:hAnsi="微软雅黑" w:eastAsia="微软雅黑"/>
          <w:szCs w:val="21"/>
        </w:rPr>
      </w:pPr>
    </w:p>
    <w:p>
      <w:pPr>
        <w:rPr>
          <w:rFonts w:asciiTheme="minorEastAsia" w:hAnsiTheme="minorEastAsia" w:eastAsiaTheme="minorEastAsia"/>
        </w:rPr>
      </w:pP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5453A9-35F0-4936-9D6A-461D2E20D3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790EC73-674D-407D-AC25-0ABAA7BF2C32}"/>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embedRegular r:id="rId3" w:fontKey="{D9CCFC3D-E1D4-4254-8512-7AFE74FD6B04}"/>
  </w:font>
  <w:font w:name="Tahoma">
    <w:panose1 w:val="020B0604030504040204"/>
    <w:charset w:val="00"/>
    <w:family w:val="auto"/>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00000001" w:usb1="08000000" w:usb2="00000000" w:usb3="00000000" w:csb0="00040000" w:csb1="00000000"/>
    <w:embedRegular r:id="rId4" w:fontKey="{4B711881-11D4-433E-A6A7-6E5AA87676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2</w:t>
    </w:r>
    <w:r>
      <w:rPr>
        <w:caps/>
        <w:color w:val="5B9BD5"/>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lvlText w:val="%1."/>
      <w:lvlJc w:val="left"/>
      <w:pPr>
        <w:ind w:left="840" w:hanging="420"/>
      </w:pPr>
      <w:rPr>
        <w:rFonts w:hint="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0000015"/>
    <w:multiLevelType w:val="multilevel"/>
    <w:tmpl w:val="00000015"/>
    <w:lvl w:ilvl="0" w:tentative="0">
      <w:start w:val="1"/>
      <w:numFmt w:val="decimal"/>
      <w:lvlText w:val="%1."/>
      <w:lvlJc w:val="left"/>
      <w:pPr>
        <w:ind w:left="840" w:hanging="420"/>
      </w:pPr>
      <w:rPr>
        <w:rFonts w:hint="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00000017"/>
    <w:multiLevelType w:val="multilevel"/>
    <w:tmpl w:val="00000017"/>
    <w:lvl w:ilvl="0" w:tentative="0">
      <w:start w:val="1"/>
      <w:numFmt w:val="decimal"/>
      <w:pStyle w:val="3"/>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lvlText w:val="5.1.1.%4"/>
      <w:lvlJc w:val="left"/>
      <w:pPr>
        <w:ind w:left="864" w:hanging="864"/>
      </w:pPr>
      <w:rPr>
        <w:rFonts w:hint="eastAsia"/>
      </w:rPr>
    </w:lvl>
    <w:lvl w:ilvl="4" w:tentative="0">
      <w:start w:val="1"/>
      <w:numFmt w:val="decimal"/>
      <w:lvlText w:val="5.1.1.1.%5"/>
      <w:lvlJc w:val="left"/>
      <w:pPr>
        <w:ind w:left="2142"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00000019"/>
    <w:multiLevelType w:val="multilevel"/>
    <w:tmpl w:val="00000019"/>
    <w:lvl w:ilvl="0" w:tentative="0">
      <w:start w:val="1"/>
      <w:numFmt w:val="decimal"/>
      <w:lvlText w:val="%1."/>
      <w:lvlJc w:val="left"/>
      <w:pPr>
        <w:ind w:left="840" w:hanging="420"/>
      </w:pPr>
      <w:rPr>
        <w:rFonts w:hint="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000001A"/>
    <w:multiLevelType w:val="multilevel"/>
    <w:tmpl w:val="0000001A"/>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00626EAA"/>
    <w:multiLevelType w:val="multilevel"/>
    <w:tmpl w:val="00626EAA"/>
    <w:lvl w:ilvl="0" w:tentative="0">
      <w:start w:val="1"/>
      <w:numFmt w:val="chineseCountingThousand"/>
      <w:lvlText w:val="%1、"/>
      <w:lvlJc w:val="left"/>
      <w:pPr>
        <w:ind w:left="900" w:hanging="420"/>
      </w:pPr>
      <w:rPr>
        <w:rFonts w:hint="default"/>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6">
    <w:nsid w:val="006A13A0"/>
    <w:multiLevelType w:val="multilevel"/>
    <w:tmpl w:val="006A13A0"/>
    <w:lvl w:ilvl="0" w:tentative="0">
      <w:start w:val="1"/>
      <w:numFmt w:val="chineseCountingThousand"/>
      <w:lvlText w:val="(%1)"/>
      <w:lvlJc w:val="left"/>
      <w:pPr>
        <w:ind w:left="780" w:hanging="360"/>
      </w:pPr>
      <w:rPr>
        <w:rFonts w:hint="default"/>
      </w:rPr>
    </w:lvl>
    <w:lvl w:ilvl="1" w:tentative="0">
      <w:start w:val="8"/>
      <w:numFmt w:val="japaneseCounting"/>
      <w:lvlText w:val="%2、"/>
      <w:lvlJc w:val="left"/>
      <w:pPr>
        <w:tabs>
          <w:tab w:val="left" w:pos="1560"/>
        </w:tabs>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4BD77EB"/>
    <w:multiLevelType w:val="multilevel"/>
    <w:tmpl w:val="04BD77EB"/>
    <w:lvl w:ilvl="0" w:tentative="0">
      <w:start w:val="1"/>
      <w:numFmt w:val="decimal"/>
      <w:lvlText w:val="%1)"/>
      <w:lvlJc w:val="left"/>
      <w:pPr>
        <w:ind w:left="1260" w:hanging="420"/>
      </w:pPr>
      <w:rPr>
        <w:rFonts w:hint="default"/>
      </w:rPr>
    </w:lvl>
    <w:lvl w:ilvl="1" w:tentative="0">
      <w:start w:val="1"/>
      <w:numFmt w:val="lowerRoman"/>
      <w:lvlText w:val="%2."/>
      <w:lvlJc w:val="right"/>
      <w:pPr>
        <w:ind w:left="1680" w:hanging="42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59E3DDC"/>
    <w:multiLevelType w:val="multilevel"/>
    <w:tmpl w:val="059E3DDC"/>
    <w:lvl w:ilvl="0" w:tentative="0">
      <w:start w:val="1"/>
      <w:numFmt w:val="chineseCountingThousand"/>
      <w:lvlText w:val="%1、"/>
      <w:lvlJc w:val="left"/>
      <w:pPr>
        <w:ind w:left="420" w:hanging="420"/>
      </w:pPr>
      <w:rPr>
        <w:rFonts w:hint="default"/>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9">
    <w:nsid w:val="092F754C"/>
    <w:multiLevelType w:val="multilevel"/>
    <w:tmpl w:val="092F754C"/>
    <w:lvl w:ilvl="0" w:tentative="0">
      <w:start w:val="1"/>
      <w:numFmt w:val="chineseCountingThousand"/>
      <w:lvlText w:val="(%1)"/>
      <w:lvlJc w:val="left"/>
      <w:pPr>
        <w:tabs>
          <w:tab w:val="left" w:pos="780"/>
        </w:tabs>
        <w:ind w:left="780" w:hanging="360"/>
      </w:pPr>
      <w:rPr>
        <w:rFonts w:hint="default"/>
      </w:rPr>
    </w:lvl>
    <w:lvl w:ilvl="1" w:tentative="0">
      <w:start w:val="1"/>
      <w:numFmt w:val="decimal"/>
      <w:lvlText w:val="%2)"/>
      <w:lvlJc w:val="left"/>
      <w:pPr>
        <w:tabs>
          <w:tab w:val="left" w:pos="1260"/>
        </w:tabs>
        <w:ind w:left="1260" w:hanging="42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D0939AC"/>
    <w:multiLevelType w:val="multilevel"/>
    <w:tmpl w:val="0D0939AC"/>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chineseCountingThousand"/>
      <w:lvlText w:val="(%3)"/>
      <w:lvlJc w:val="lef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14D1407B"/>
    <w:multiLevelType w:val="multilevel"/>
    <w:tmpl w:val="14D1407B"/>
    <w:lvl w:ilvl="0" w:tentative="0">
      <w:start w:val="1"/>
      <w:numFmt w:val="lowerRoman"/>
      <w:lvlText w:val="%1."/>
      <w:lvlJc w:val="right"/>
      <w:pPr>
        <w:ind w:left="1683" w:hanging="420"/>
      </w:pPr>
    </w:lvl>
    <w:lvl w:ilvl="1" w:tentative="0">
      <w:start w:val="1"/>
      <w:numFmt w:val="bullet"/>
      <w:lvlText w:val=""/>
      <w:lvlJc w:val="left"/>
      <w:pPr>
        <w:ind w:left="2103" w:hanging="420"/>
      </w:pPr>
      <w:rPr>
        <w:rFonts w:hint="default" w:ascii="Wingdings" w:hAnsi="Wingdings"/>
      </w:rPr>
    </w:lvl>
    <w:lvl w:ilvl="2" w:tentative="0">
      <w:start w:val="1"/>
      <w:numFmt w:val="lowerRoman"/>
      <w:lvlText w:val="%3."/>
      <w:lvlJc w:val="right"/>
      <w:pPr>
        <w:ind w:left="2523" w:hanging="420"/>
      </w:pPr>
    </w:lvl>
    <w:lvl w:ilvl="3" w:tentative="0">
      <w:start w:val="1"/>
      <w:numFmt w:val="decimal"/>
      <w:lvlText w:val="%4."/>
      <w:lvlJc w:val="left"/>
      <w:pPr>
        <w:ind w:left="2943" w:hanging="420"/>
      </w:pPr>
    </w:lvl>
    <w:lvl w:ilvl="4" w:tentative="0">
      <w:start w:val="1"/>
      <w:numFmt w:val="lowerLetter"/>
      <w:lvlText w:val="%5)"/>
      <w:lvlJc w:val="left"/>
      <w:pPr>
        <w:ind w:left="3363" w:hanging="420"/>
      </w:pPr>
    </w:lvl>
    <w:lvl w:ilvl="5" w:tentative="0">
      <w:start w:val="1"/>
      <w:numFmt w:val="lowerRoman"/>
      <w:lvlText w:val="%6."/>
      <w:lvlJc w:val="right"/>
      <w:pPr>
        <w:ind w:left="3783" w:hanging="420"/>
      </w:pPr>
    </w:lvl>
    <w:lvl w:ilvl="6" w:tentative="0">
      <w:start w:val="1"/>
      <w:numFmt w:val="decimal"/>
      <w:lvlText w:val="%7."/>
      <w:lvlJc w:val="left"/>
      <w:pPr>
        <w:ind w:left="4203" w:hanging="420"/>
      </w:pPr>
    </w:lvl>
    <w:lvl w:ilvl="7" w:tentative="0">
      <w:start w:val="1"/>
      <w:numFmt w:val="lowerLetter"/>
      <w:lvlText w:val="%8)"/>
      <w:lvlJc w:val="left"/>
      <w:pPr>
        <w:ind w:left="4623" w:hanging="420"/>
      </w:pPr>
    </w:lvl>
    <w:lvl w:ilvl="8" w:tentative="0">
      <w:start w:val="1"/>
      <w:numFmt w:val="lowerRoman"/>
      <w:lvlText w:val="%9."/>
      <w:lvlJc w:val="right"/>
      <w:pPr>
        <w:ind w:left="5043" w:hanging="420"/>
      </w:pPr>
    </w:lvl>
  </w:abstractNum>
  <w:abstractNum w:abstractNumId="12">
    <w:nsid w:val="1527247C"/>
    <w:multiLevelType w:val="multilevel"/>
    <w:tmpl w:val="1527247C"/>
    <w:lvl w:ilvl="0" w:tentative="0">
      <w:start w:val="1"/>
      <w:numFmt w:val="decimal"/>
      <w:lvlText w:val="%1)"/>
      <w:lvlJc w:val="left"/>
      <w:pPr>
        <w:ind w:left="1260" w:hanging="420"/>
      </w:pPr>
      <w:rPr>
        <w:rFonts w:hint="default"/>
      </w:rPr>
    </w:lvl>
    <w:lvl w:ilvl="1" w:tentative="0">
      <w:start w:val="1"/>
      <w:numFmt w:val="lowerRoman"/>
      <w:lvlText w:val="%2."/>
      <w:lvlJc w:val="right"/>
      <w:pPr>
        <w:ind w:left="1683"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17486424"/>
    <w:multiLevelType w:val="multilevel"/>
    <w:tmpl w:val="17486424"/>
    <w:lvl w:ilvl="0" w:tentative="0">
      <w:start w:val="1"/>
      <w:numFmt w:val="lowerRoman"/>
      <w:lvlText w:val="%1."/>
      <w:lvlJc w:val="right"/>
      <w:pPr>
        <w:ind w:left="1683" w:hanging="420"/>
      </w:pPr>
      <w:rPr>
        <w:rFonts w:hint="default"/>
      </w:rPr>
    </w:lvl>
    <w:lvl w:ilvl="1" w:tentative="0">
      <w:start w:val="1"/>
      <w:numFmt w:val="lowerLetter"/>
      <w:lvlText w:val="%2)"/>
      <w:lvlJc w:val="left"/>
      <w:pPr>
        <w:ind w:left="2103" w:hanging="420"/>
      </w:pPr>
    </w:lvl>
    <w:lvl w:ilvl="2" w:tentative="0">
      <w:start w:val="1"/>
      <w:numFmt w:val="lowerRoman"/>
      <w:lvlText w:val="%3."/>
      <w:lvlJc w:val="right"/>
      <w:pPr>
        <w:ind w:left="2523" w:hanging="420"/>
      </w:pPr>
    </w:lvl>
    <w:lvl w:ilvl="3" w:tentative="0">
      <w:start w:val="1"/>
      <w:numFmt w:val="decimal"/>
      <w:lvlText w:val="%4."/>
      <w:lvlJc w:val="left"/>
      <w:pPr>
        <w:ind w:left="2943" w:hanging="420"/>
      </w:pPr>
    </w:lvl>
    <w:lvl w:ilvl="4" w:tentative="0">
      <w:start w:val="1"/>
      <w:numFmt w:val="lowerLetter"/>
      <w:lvlText w:val="%5)"/>
      <w:lvlJc w:val="left"/>
      <w:pPr>
        <w:ind w:left="3363" w:hanging="420"/>
      </w:pPr>
    </w:lvl>
    <w:lvl w:ilvl="5" w:tentative="0">
      <w:start w:val="1"/>
      <w:numFmt w:val="lowerRoman"/>
      <w:lvlText w:val="%6."/>
      <w:lvlJc w:val="right"/>
      <w:pPr>
        <w:ind w:left="3783" w:hanging="420"/>
      </w:pPr>
    </w:lvl>
    <w:lvl w:ilvl="6" w:tentative="0">
      <w:start w:val="1"/>
      <w:numFmt w:val="decimal"/>
      <w:lvlText w:val="%7."/>
      <w:lvlJc w:val="left"/>
      <w:pPr>
        <w:ind w:left="4203" w:hanging="420"/>
      </w:pPr>
    </w:lvl>
    <w:lvl w:ilvl="7" w:tentative="0">
      <w:start w:val="1"/>
      <w:numFmt w:val="lowerLetter"/>
      <w:lvlText w:val="%8)"/>
      <w:lvlJc w:val="left"/>
      <w:pPr>
        <w:ind w:left="4623" w:hanging="420"/>
      </w:pPr>
    </w:lvl>
    <w:lvl w:ilvl="8" w:tentative="0">
      <w:start w:val="1"/>
      <w:numFmt w:val="lowerRoman"/>
      <w:lvlText w:val="%9."/>
      <w:lvlJc w:val="right"/>
      <w:pPr>
        <w:ind w:left="5043" w:hanging="420"/>
      </w:pPr>
    </w:lvl>
  </w:abstractNum>
  <w:abstractNum w:abstractNumId="14">
    <w:nsid w:val="1CE779C8"/>
    <w:multiLevelType w:val="multilevel"/>
    <w:tmpl w:val="1CE779C8"/>
    <w:lvl w:ilvl="0" w:tentative="0">
      <w:start w:val="1"/>
      <w:numFmt w:val="chineseCountingThousand"/>
      <w:lvlText w:val="(%1)"/>
      <w:lvlJc w:val="left"/>
      <w:pPr>
        <w:tabs>
          <w:tab w:val="left" w:pos="780"/>
        </w:tabs>
        <w:ind w:left="780" w:hanging="360"/>
      </w:pPr>
      <w:rPr>
        <w:rFonts w:hint="default"/>
      </w:rPr>
    </w:lvl>
    <w:lvl w:ilvl="1" w:tentative="0">
      <w:start w:val="1"/>
      <w:numFmt w:val="decimal"/>
      <w:lvlText w:val="%2)"/>
      <w:lvlJc w:val="left"/>
      <w:pPr>
        <w:tabs>
          <w:tab w:val="left" w:pos="1260"/>
        </w:tabs>
        <w:ind w:left="1260" w:hanging="42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206D29C3"/>
    <w:multiLevelType w:val="multilevel"/>
    <w:tmpl w:val="206D29C3"/>
    <w:lvl w:ilvl="0" w:tentative="0">
      <w:start w:val="1"/>
      <w:numFmt w:val="japaneseCounting"/>
      <w:lvlText w:val="第%1条"/>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6">
    <w:nsid w:val="24E9401A"/>
    <w:multiLevelType w:val="multilevel"/>
    <w:tmpl w:val="24E9401A"/>
    <w:lvl w:ilvl="0" w:tentative="0">
      <w:start w:val="1"/>
      <w:numFmt w:val="lowerRoman"/>
      <w:lvlText w:val="%1."/>
      <w:lvlJc w:val="righ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7">
    <w:nsid w:val="3E1A3311"/>
    <w:multiLevelType w:val="multilevel"/>
    <w:tmpl w:val="3E1A3311"/>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chineseCountingThousand"/>
      <w:lvlText w:val="(%3)"/>
      <w:lvlJc w:val="left"/>
      <w:pPr>
        <w:ind w:left="1686" w:hanging="420"/>
      </w:pPr>
      <w:rPr>
        <w:b w:val="0"/>
      </w:r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8">
    <w:nsid w:val="505C324B"/>
    <w:multiLevelType w:val="multilevel"/>
    <w:tmpl w:val="505C324B"/>
    <w:lvl w:ilvl="0" w:tentative="0">
      <w:start w:val="1"/>
      <w:numFmt w:val="decimal"/>
      <w:lvlText w:val="%1)"/>
      <w:lvlJc w:val="left"/>
      <w:pPr>
        <w:ind w:left="1260" w:hanging="420"/>
      </w:pPr>
      <w:rPr>
        <w:rFonts w:hint="default"/>
      </w:rPr>
    </w:lvl>
    <w:lvl w:ilvl="1" w:tentative="0">
      <w:start w:val="1"/>
      <w:numFmt w:val="lowerRoman"/>
      <w:lvlText w:val="%2."/>
      <w:lvlJc w:val="righ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5100438B"/>
    <w:multiLevelType w:val="multilevel"/>
    <w:tmpl w:val="5100438B"/>
    <w:lvl w:ilvl="0" w:tentative="0">
      <w:start w:val="1"/>
      <w:numFmt w:val="chineseCountingThousand"/>
      <w:lvlText w:val="(%1)"/>
      <w:lvlJc w:val="left"/>
      <w:pPr>
        <w:tabs>
          <w:tab w:val="left" w:pos="780"/>
        </w:tabs>
        <w:ind w:left="780" w:hanging="360"/>
      </w:pPr>
      <w:rPr>
        <w:rFonts w:hint="default"/>
      </w:rPr>
    </w:lvl>
    <w:lvl w:ilvl="1" w:tentative="0">
      <w:start w:val="1"/>
      <w:numFmt w:val="decimal"/>
      <w:lvlText w:val="%2)"/>
      <w:lvlJc w:val="left"/>
      <w:pPr>
        <w:tabs>
          <w:tab w:val="left" w:pos="1260"/>
        </w:tabs>
        <w:ind w:left="1260" w:hanging="42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0">
    <w:nsid w:val="535061F4"/>
    <w:multiLevelType w:val="multilevel"/>
    <w:tmpl w:val="535061F4"/>
    <w:lvl w:ilvl="0" w:tentative="0">
      <w:start w:val="1"/>
      <w:numFmt w:val="lowerRoman"/>
      <w:lvlText w:val="%1."/>
      <w:lvlJc w:val="righ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1">
    <w:nsid w:val="54730D26"/>
    <w:multiLevelType w:val="multilevel"/>
    <w:tmpl w:val="54730D26"/>
    <w:lvl w:ilvl="0" w:tentative="0">
      <w:start w:val="1"/>
      <w:numFmt w:val="decimal"/>
      <w:lvlText w:val="%1)"/>
      <w:lvlJc w:val="left"/>
      <w:pPr>
        <w:ind w:left="1260" w:hanging="420"/>
      </w:pPr>
      <w:rPr>
        <w:rFonts w:hint="default"/>
      </w:rPr>
    </w:lvl>
    <w:lvl w:ilvl="1" w:tentative="0">
      <w:start w:val="1"/>
      <w:numFmt w:val="lowerRoman"/>
      <w:lvlText w:val="%2."/>
      <w:lvlJc w:val="right"/>
      <w:pPr>
        <w:ind w:left="1683"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55490EA7"/>
    <w:multiLevelType w:val="multilevel"/>
    <w:tmpl w:val="55490EA7"/>
    <w:lvl w:ilvl="0" w:tentative="0">
      <w:start w:val="1"/>
      <w:numFmt w:val="decimal"/>
      <w:lvlText w:val="%1)"/>
      <w:lvlJc w:val="left"/>
      <w:pPr>
        <w:ind w:left="1260" w:hanging="420"/>
      </w:pPr>
      <w:rPr>
        <w:rFonts w:hint="default"/>
      </w:rPr>
    </w:lvl>
    <w:lvl w:ilvl="1" w:tentative="0">
      <w:start w:val="1"/>
      <w:numFmt w:val="lowerRoman"/>
      <w:lvlText w:val="%2."/>
      <w:lvlJc w:val="righ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3">
    <w:nsid w:val="57550E26"/>
    <w:multiLevelType w:val="multilevel"/>
    <w:tmpl w:val="57550E26"/>
    <w:lvl w:ilvl="0" w:tentative="0">
      <w:start w:val="1"/>
      <w:numFmt w:val="chineseCountingThousand"/>
      <w:lvlText w:val="(%1)"/>
      <w:lvlJc w:val="left"/>
      <w:pPr>
        <w:tabs>
          <w:tab w:val="left" w:pos="720"/>
        </w:tabs>
        <w:ind w:left="720" w:hanging="360"/>
      </w:pPr>
      <w:rPr>
        <w:rFonts w:hint="default"/>
      </w:rPr>
    </w:lvl>
    <w:lvl w:ilvl="1" w:tentative="0">
      <w:start w:val="1"/>
      <w:numFmt w:val="decimal"/>
      <w:lvlText w:val="%2)"/>
      <w:lvlJc w:val="left"/>
      <w:pPr>
        <w:tabs>
          <w:tab w:val="left" w:pos="1200"/>
        </w:tabs>
        <w:ind w:left="1200" w:hanging="420"/>
      </w:pPr>
      <w:rPr>
        <w:rFonts w:hint="default"/>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4">
    <w:nsid w:val="5D997143"/>
    <w:multiLevelType w:val="multilevel"/>
    <w:tmpl w:val="5D997143"/>
    <w:lvl w:ilvl="0" w:tentative="0">
      <w:start w:val="1"/>
      <w:numFmt w:val="lowerRoman"/>
      <w:lvlText w:val="%1."/>
      <w:lvlJc w:val="righ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5">
    <w:nsid w:val="6F427719"/>
    <w:multiLevelType w:val="multilevel"/>
    <w:tmpl w:val="6F427719"/>
    <w:lvl w:ilvl="0" w:tentative="0">
      <w:start w:val="1"/>
      <w:numFmt w:val="lowerRoman"/>
      <w:lvlText w:val="%1."/>
      <w:lvlJc w:val="right"/>
      <w:pPr>
        <w:ind w:left="1683" w:hanging="420"/>
      </w:pPr>
    </w:lvl>
    <w:lvl w:ilvl="1" w:tentative="0">
      <w:start w:val="1"/>
      <w:numFmt w:val="lowerLetter"/>
      <w:lvlText w:val="%2)"/>
      <w:lvlJc w:val="left"/>
      <w:pPr>
        <w:ind w:left="2103" w:hanging="420"/>
      </w:pPr>
    </w:lvl>
    <w:lvl w:ilvl="2" w:tentative="0">
      <w:start w:val="1"/>
      <w:numFmt w:val="lowerRoman"/>
      <w:lvlText w:val="%3."/>
      <w:lvlJc w:val="right"/>
      <w:pPr>
        <w:ind w:left="2523" w:hanging="420"/>
      </w:pPr>
    </w:lvl>
    <w:lvl w:ilvl="3" w:tentative="0">
      <w:start w:val="1"/>
      <w:numFmt w:val="decimal"/>
      <w:lvlText w:val="%4."/>
      <w:lvlJc w:val="left"/>
      <w:pPr>
        <w:ind w:left="2943" w:hanging="420"/>
      </w:pPr>
    </w:lvl>
    <w:lvl w:ilvl="4" w:tentative="0">
      <w:start w:val="1"/>
      <w:numFmt w:val="lowerLetter"/>
      <w:lvlText w:val="%5)"/>
      <w:lvlJc w:val="left"/>
      <w:pPr>
        <w:ind w:left="3363" w:hanging="420"/>
      </w:pPr>
    </w:lvl>
    <w:lvl w:ilvl="5" w:tentative="0">
      <w:start w:val="1"/>
      <w:numFmt w:val="lowerRoman"/>
      <w:lvlText w:val="%6."/>
      <w:lvlJc w:val="right"/>
      <w:pPr>
        <w:ind w:left="3783" w:hanging="420"/>
      </w:pPr>
    </w:lvl>
    <w:lvl w:ilvl="6" w:tentative="0">
      <w:start w:val="1"/>
      <w:numFmt w:val="decimal"/>
      <w:lvlText w:val="%7."/>
      <w:lvlJc w:val="left"/>
      <w:pPr>
        <w:ind w:left="4203" w:hanging="420"/>
      </w:pPr>
    </w:lvl>
    <w:lvl w:ilvl="7" w:tentative="0">
      <w:start w:val="1"/>
      <w:numFmt w:val="lowerLetter"/>
      <w:lvlText w:val="%8)"/>
      <w:lvlJc w:val="left"/>
      <w:pPr>
        <w:ind w:left="4623" w:hanging="420"/>
      </w:pPr>
    </w:lvl>
    <w:lvl w:ilvl="8" w:tentative="0">
      <w:start w:val="1"/>
      <w:numFmt w:val="lowerRoman"/>
      <w:lvlText w:val="%9."/>
      <w:lvlJc w:val="right"/>
      <w:pPr>
        <w:ind w:left="5043" w:hanging="420"/>
      </w:pPr>
    </w:lvl>
  </w:abstractNum>
  <w:abstractNum w:abstractNumId="26">
    <w:nsid w:val="75E8046B"/>
    <w:multiLevelType w:val="multilevel"/>
    <w:tmpl w:val="75E8046B"/>
    <w:lvl w:ilvl="0" w:tentative="0">
      <w:start w:val="1"/>
      <w:numFmt w:val="chineseCountingThousand"/>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7A7E77F2"/>
    <w:multiLevelType w:val="multilevel"/>
    <w:tmpl w:val="7A7E77F2"/>
    <w:lvl w:ilvl="0" w:tentative="0">
      <w:start w:val="1"/>
      <w:numFmt w:val="lowerRoman"/>
      <w:lvlText w:val="%1."/>
      <w:lvlJc w:val="right"/>
      <w:pPr>
        <w:ind w:left="1683" w:hanging="420"/>
      </w:pPr>
    </w:lvl>
    <w:lvl w:ilvl="1" w:tentative="0">
      <w:start w:val="1"/>
      <w:numFmt w:val="lowerLetter"/>
      <w:lvlText w:val="%2)"/>
      <w:lvlJc w:val="left"/>
      <w:pPr>
        <w:ind w:left="2103" w:hanging="420"/>
      </w:pPr>
    </w:lvl>
    <w:lvl w:ilvl="2" w:tentative="0">
      <w:start w:val="1"/>
      <w:numFmt w:val="lowerRoman"/>
      <w:lvlText w:val="%3."/>
      <w:lvlJc w:val="right"/>
      <w:pPr>
        <w:ind w:left="2523" w:hanging="420"/>
      </w:pPr>
    </w:lvl>
    <w:lvl w:ilvl="3" w:tentative="0">
      <w:start w:val="1"/>
      <w:numFmt w:val="decimal"/>
      <w:lvlText w:val="%4."/>
      <w:lvlJc w:val="left"/>
      <w:pPr>
        <w:ind w:left="2943" w:hanging="420"/>
      </w:pPr>
    </w:lvl>
    <w:lvl w:ilvl="4" w:tentative="0">
      <w:start w:val="1"/>
      <w:numFmt w:val="lowerLetter"/>
      <w:lvlText w:val="%5)"/>
      <w:lvlJc w:val="left"/>
      <w:pPr>
        <w:ind w:left="3363" w:hanging="420"/>
      </w:pPr>
    </w:lvl>
    <w:lvl w:ilvl="5" w:tentative="0">
      <w:start w:val="1"/>
      <w:numFmt w:val="lowerRoman"/>
      <w:lvlText w:val="%6."/>
      <w:lvlJc w:val="right"/>
      <w:pPr>
        <w:ind w:left="3783" w:hanging="420"/>
      </w:pPr>
    </w:lvl>
    <w:lvl w:ilvl="6" w:tentative="0">
      <w:start w:val="1"/>
      <w:numFmt w:val="decimal"/>
      <w:lvlText w:val="%7."/>
      <w:lvlJc w:val="left"/>
      <w:pPr>
        <w:ind w:left="4203" w:hanging="420"/>
      </w:pPr>
    </w:lvl>
    <w:lvl w:ilvl="7" w:tentative="0">
      <w:start w:val="1"/>
      <w:numFmt w:val="lowerLetter"/>
      <w:lvlText w:val="%8)"/>
      <w:lvlJc w:val="left"/>
      <w:pPr>
        <w:ind w:left="4623" w:hanging="420"/>
      </w:pPr>
    </w:lvl>
    <w:lvl w:ilvl="8" w:tentative="0">
      <w:start w:val="1"/>
      <w:numFmt w:val="lowerRoman"/>
      <w:lvlText w:val="%9."/>
      <w:lvlJc w:val="right"/>
      <w:pPr>
        <w:ind w:left="5043" w:hanging="420"/>
      </w:pPr>
    </w:lvl>
  </w:abstractNum>
  <w:abstractNum w:abstractNumId="28">
    <w:nsid w:val="7AF259C5"/>
    <w:multiLevelType w:val="multilevel"/>
    <w:tmpl w:val="7AF259C5"/>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9">
    <w:nsid w:val="7B02415C"/>
    <w:multiLevelType w:val="multilevel"/>
    <w:tmpl w:val="7B02415C"/>
    <w:lvl w:ilvl="0" w:tentative="0">
      <w:start w:val="1"/>
      <w:numFmt w:val="decimal"/>
      <w:lvlText w:val="%1)"/>
      <w:lvlJc w:val="left"/>
      <w:pPr>
        <w:ind w:left="1260" w:hanging="420"/>
      </w:pPr>
      <w:rPr>
        <w:rFonts w:hint="default"/>
      </w:rPr>
    </w:lvl>
    <w:lvl w:ilvl="1" w:tentative="0">
      <w:start w:val="1"/>
      <w:numFmt w:val="lowerRoman"/>
      <w:lvlText w:val="%2."/>
      <w:lvlJc w:val="righ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0">
    <w:nsid w:val="7EA26FC6"/>
    <w:multiLevelType w:val="multilevel"/>
    <w:tmpl w:val="7EA26FC6"/>
    <w:lvl w:ilvl="0" w:tentative="0">
      <w:start w:val="1"/>
      <w:numFmt w:val="chineseCountingThousand"/>
      <w:lvlText w:val="(%1)"/>
      <w:lvlJc w:val="left"/>
      <w:pPr>
        <w:tabs>
          <w:tab w:val="left" w:pos="840"/>
        </w:tabs>
        <w:ind w:left="840" w:hanging="360"/>
      </w:pPr>
      <w:rPr>
        <w:rFonts w:hint="default"/>
      </w:rPr>
    </w:lvl>
    <w:lvl w:ilvl="1" w:tentative="0">
      <w:start w:val="1"/>
      <w:numFmt w:val="decimal"/>
      <w:lvlText w:val="%2)"/>
      <w:lvlJc w:val="left"/>
      <w:pPr>
        <w:tabs>
          <w:tab w:val="left" w:pos="1320"/>
        </w:tabs>
        <w:ind w:left="1320" w:hanging="42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4"/>
  </w:num>
  <w:num w:numId="3">
    <w:abstractNumId w:val="7"/>
  </w:num>
  <w:num w:numId="4">
    <w:abstractNumId w:val="28"/>
  </w:num>
  <w:num w:numId="5">
    <w:abstractNumId w:val="13"/>
  </w:num>
  <w:num w:numId="6">
    <w:abstractNumId w:val="11"/>
  </w:num>
  <w:num w:numId="7">
    <w:abstractNumId w:val="27"/>
  </w:num>
  <w:num w:numId="8">
    <w:abstractNumId w:val="21"/>
  </w:num>
  <w:num w:numId="9">
    <w:abstractNumId w:val="20"/>
  </w:num>
  <w:num w:numId="10">
    <w:abstractNumId w:val="24"/>
  </w:num>
  <w:num w:numId="11">
    <w:abstractNumId w:val="12"/>
  </w:num>
  <w:num w:numId="12">
    <w:abstractNumId w:val="18"/>
  </w:num>
  <w:num w:numId="13">
    <w:abstractNumId w:val="29"/>
  </w:num>
  <w:num w:numId="14">
    <w:abstractNumId w:val="22"/>
  </w:num>
  <w:num w:numId="15">
    <w:abstractNumId w:val="16"/>
  </w:num>
  <w:num w:numId="16">
    <w:abstractNumId w:val="25"/>
  </w:num>
  <w:num w:numId="17">
    <w:abstractNumId w:val="1"/>
  </w:num>
  <w:num w:numId="18">
    <w:abstractNumId w:val="0"/>
  </w:num>
  <w:num w:numId="19">
    <w:abstractNumId w:val="3"/>
  </w:num>
  <w:num w:numId="20">
    <w:abstractNumId w:val="8"/>
  </w:num>
  <w:num w:numId="21">
    <w:abstractNumId w:val="19"/>
  </w:num>
  <w:num w:numId="22">
    <w:abstractNumId w:val="15"/>
  </w:num>
  <w:num w:numId="23">
    <w:abstractNumId w:val="5"/>
  </w:num>
  <w:num w:numId="24">
    <w:abstractNumId w:val="30"/>
  </w:num>
  <w:num w:numId="25">
    <w:abstractNumId w:val="9"/>
  </w:num>
  <w:num w:numId="26">
    <w:abstractNumId w:val="23"/>
  </w:num>
  <w:num w:numId="27">
    <w:abstractNumId w:val="14"/>
  </w:num>
  <w:num w:numId="28">
    <w:abstractNumId w:val="26"/>
  </w:num>
  <w:num w:numId="29">
    <w:abstractNumId w:val="6"/>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mZmIzNzA0ZTdhYzJhMzdhZmIwOGYwYjA4Y2IzNTEifQ=="/>
  </w:docVars>
  <w:rsids>
    <w:rsidRoot w:val="00187A27"/>
    <w:rsid w:val="000123F1"/>
    <w:rsid w:val="00015564"/>
    <w:rsid w:val="00037E41"/>
    <w:rsid w:val="000407B3"/>
    <w:rsid w:val="000414F8"/>
    <w:rsid w:val="00042A1B"/>
    <w:rsid w:val="00044B09"/>
    <w:rsid w:val="000514A8"/>
    <w:rsid w:val="000819C1"/>
    <w:rsid w:val="000868DE"/>
    <w:rsid w:val="00097672"/>
    <w:rsid w:val="000A512E"/>
    <w:rsid w:val="000B318B"/>
    <w:rsid w:val="000C39EB"/>
    <w:rsid w:val="000C3D8B"/>
    <w:rsid w:val="000E22D6"/>
    <w:rsid w:val="000F5E2A"/>
    <w:rsid w:val="00100E92"/>
    <w:rsid w:val="00103440"/>
    <w:rsid w:val="001079C3"/>
    <w:rsid w:val="00111DA2"/>
    <w:rsid w:val="00125663"/>
    <w:rsid w:val="00125FBE"/>
    <w:rsid w:val="00140960"/>
    <w:rsid w:val="0015085F"/>
    <w:rsid w:val="00170E08"/>
    <w:rsid w:val="00174689"/>
    <w:rsid w:val="0018096F"/>
    <w:rsid w:val="00187A27"/>
    <w:rsid w:val="001B7E8C"/>
    <w:rsid w:val="001D35BE"/>
    <w:rsid w:val="001D3AC6"/>
    <w:rsid w:val="001D68E5"/>
    <w:rsid w:val="001E0EEB"/>
    <w:rsid w:val="001F410D"/>
    <w:rsid w:val="001F48A6"/>
    <w:rsid w:val="001F4BEB"/>
    <w:rsid w:val="002004F4"/>
    <w:rsid w:val="00200FBA"/>
    <w:rsid w:val="00202DBC"/>
    <w:rsid w:val="00207CC4"/>
    <w:rsid w:val="00213FDE"/>
    <w:rsid w:val="00215E8C"/>
    <w:rsid w:val="00216F60"/>
    <w:rsid w:val="00227A46"/>
    <w:rsid w:val="00237CC5"/>
    <w:rsid w:val="0024004A"/>
    <w:rsid w:val="002529E6"/>
    <w:rsid w:val="00253FE7"/>
    <w:rsid w:val="002823C0"/>
    <w:rsid w:val="002917BA"/>
    <w:rsid w:val="00292840"/>
    <w:rsid w:val="00295BB7"/>
    <w:rsid w:val="002976C8"/>
    <w:rsid w:val="002E74A8"/>
    <w:rsid w:val="002F0487"/>
    <w:rsid w:val="003107C3"/>
    <w:rsid w:val="003224C6"/>
    <w:rsid w:val="00322779"/>
    <w:rsid w:val="00324C8F"/>
    <w:rsid w:val="00330C1E"/>
    <w:rsid w:val="00333D00"/>
    <w:rsid w:val="0035588C"/>
    <w:rsid w:val="0038422C"/>
    <w:rsid w:val="003966FD"/>
    <w:rsid w:val="003A5DF5"/>
    <w:rsid w:val="003B4E74"/>
    <w:rsid w:val="003C68D2"/>
    <w:rsid w:val="003C6944"/>
    <w:rsid w:val="003D7293"/>
    <w:rsid w:val="003E13E3"/>
    <w:rsid w:val="00410428"/>
    <w:rsid w:val="004111D4"/>
    <w:rsid w:val="004248E4"/>
    <w:rsid w:val="004348F6"/>
    <w:rsid w:val="00450334"/>
    <w:rsid w:val="00461FEF"/>
    <w:rsid w:val="00464848"/>
    <w:rsid w:val="00474EC2"/>
    <w:rsid w:val="00475F67"/>
    <w:rsid w:val="00481A5D"/>
    <w:rsid w:val="00484D47"/>
    <w:rsid w:val="0048574B"/>
    <w:rsid w:val="004A737E"/>
    <w:rsid w:val="004D2603"/>
    <w:rsid w:val="004E3551"/>
    <w:rsid w:val="004E6839"/>
    <w:rsid w:val="004E7214"/>
    <w:rsid w:val="004F65B4"/>
    <w:rsid w:val="004F79F5"/>
    <w:rsid w:val="00500FE5"/>
    <w:rsid w:val="00505C66"/>
    <w:rsid w:val="00513C86"/>
    <w:rsid w:val="00514906"/>
    <w:rsid w:val="005166FD"/>
    <w:rsid w:val="005510E5"/>
    <w:rsid w:val="005572AC"/>
    <w:rsid w:val="00562373"/>
    <w:rsid w:val="0057114C"/>
    <w:rsid w:val="005721A4"/>
    <w:rsid w:val="00581AB1"/>
    <w:rsid w:val="0058481C"/>
    <w:rsid w:val="005A44F2"/>
    <w:rsid w:val="005B7F40"/>
    <w:rsid w:val="005C600C"/>
    <w:rsid w:val="005D301C"/>
    <w:rsid w:val="005F0FF0"/>
    <w:rsid w:val="005F18FE"/>
    <w:rsid w:val="0060316C"/>
    <w:rsid w:val="00605880"/>
    <w:rsid w:val="00613283"/>
    <w:rsid w:val="006166DC"/>
    <w:rsid w:val="00641F3D"/>
    <w:rsid w:val="00656DC7"/>
    <w:rsid w:val="00682C30"/>
    <w:rsid w:val="006912E4"/>
    <w:rsid w:val="006B73ED"/>
    <w:rsid w:val="006B7897"/>
    <w:rsid w:val="006C2B89"/>
    <w:rsid w:val="006C3F58"/>
    <w:rsid w:val="006D315F"/>
    <w:rsid w:val="006E2735"/>
    <w:rsid w:val="006E35E2"/>
    <w:rsid w:val="006F1B56"/>
    <w:rsid w:val="0070019A"/>
    <w:rsid w:val="0070275E"/>
    <w:rsid w:val="00711576"/>
    <w:rsid w:val="0071696B"/>
    <w:rsid w:val="007236B3"/>
    <w:rsid w:val="007349BC"/>
    <w:rsid w:val="007418A6"/>
    <w:rsid w:val="007422E7"/>
    <w:rsid w:val="007435B9"/>
    <w:rsid w:val="007440F2"/>
    <w:rsid w:val="007456FB"/>
    <w:rsid w:val="0075430E"/>
    <w:rsid w:val="0075527C"/>
    <w:rsid w:val="007748A7"/>
    <w:rsid w:val="007842E6"/>
    <w:rsid w:val="007856DE"/>
    <w:rsid w:val="00786B44"/>
    <w:rsid w:val="00791B31"/>
    <w:rsid w:val="007A3357"/>
    <w:rsid w:val="007B0D74"/>
    <w:rsid w:val="007B103C"/>
    <w:rsid w:val="007B1A5A"/>
    <w:rsid w:val="007C3A16"/>
    <w:rsid w:val="007D4F0F"/>
    <w:rsid w:val="007E659E"/>
    <w:rsid w:val="007F04E2"/>
    <w:rsid w:val="007F0C5D"/>
    <w:rsid w:val="008079CE"/>
    <w:rsid w:val="00812615"/>
    <w:rsid w:val="00813B57"/>
    <w:rsid w:val="00817F0D"/>
    <w:rsid w:val="00820553"/>
    <w:rsid w:val="00826610"/>
    <w:rsid w:val="00827DF4"/>
    <w:rsid w:val="00846B44"/>
    <w:rsid w:val="0085268D"/>
    <w:rsid w:val="008532E7"/>
    <w:rsid w:val="0086457D"/>
    <w:rsid w:val="00865C7A"/>
    <w:rsid w:val="008674AD"/>
    <w:rsid w:val="00872ACB"/>
    <w:rsid w:val="00876428"/>
    <w:rsid w:val="00882860"/>
    <w:rsid w:val="008B1206"/>
    <w:rsid w:val="008B4B9C"/>
    <w:rsid w:val="008B4D0C"/>
    <w:rsid w:val="008F0A9A"/>
    <w:rsid w:val="008F3190"/>
    <w:rsid w:val="00900458"/>
    <w:rsid w:val="00902F7D"/>
    <w:rsid w:val="009213ED"/>
    <w:rsid w:val="009305D1"/>
    <w:rsid w:val="009346E9"/>
    <w:rsid w:val="009658DF"/>
    <w:rsid w:val="00970CFA"/>
    <w:rsid w:val="00972198"/>
    <w:rsid w:val="009737FB"/>
    <w:rsid w:val="0097579A"/>
    <w:rsid w:val="00976AFA"/>
    <w:rsid w:val="009A339D"/>
    <w:rsid w:val="009B37DA"/>
    <w:rsid w:val="009D2148"/>
    <w:rsid w:val="009D7875"/>
    <w:rsid w:val="009F2B3A"/>
    <w:rsid w:val="00A034B2"/>
    <w:rsid w:val="00A04277"/>
    <w:rsid w:val="00A059B7"/>
    <w:rsid w:val="00A278FC"/>
    <w:rsid w:val="00A31342"/>
    <w:rsid w:val="00A352FA"/>
    <w:rsid w:val="00A4561A"/>
    <w:rsid w:val="00A45678"/>
    <w:rsid w:val="00A65A0E"/>
    <w:rsid w:val="00A8200C"/>
    <w:rsid w:val="00A97BF4"/>
    <w:rsid w:val="00AA2C25"/>
    <w:rsid w:val="00AB3F44"/>
    <w:rsid w:val="00AC1944"/>
    <w:rsid w:val="00AD0DE4"/>
    <w:rsid w:val="00AD465B"/>
    <w:rsid w:val="00AF2696"/>
    <w:rsid w:val="00B02535"/>
    <w:rsid w:val="00B143C3"/>
    <w:rsid w:val="00B2720E"/>
    <w:rsid w:val="00B43583"/>
    <w:rsid w:val="00B43FBD"/>
    <w:rsid w:val="00B45CAC"/>
    <w:rsid w:val="00B6065A"/>
    <w:rsid w:val="00B622B5"/>
    <w:rsid w:val="00B90535"/>
    <w:rsid w:val="00B94D13"/>
    <w:rsid w:val="00BB032C"/>
    <w:rsid w:val="00BB0476"/>
    <w:rsid w:val="00BD4B1B"/>
    <w:rsid w:val="00BE4B10"/>
    <w:rsid w:val="00BE64CC"/>
    <w:rsid w:val="00BF166E"/>
    <w:rsid w:val="00BF4B06"/>
    <w:rsid w:val="00BF5F1D"/>
    <w:rsid w:val="00C20CAE"/>
    <w:rsid w:val="00C66EE9"/>
    <w:rsid w:val="00C76670"/>
    <w:rsid w:val="00C81F9A"/>
    <w:rsid w:val="00C9264D"/>
    <w:rsid w:val="00C955AF"/>
    <w:rsid w:val="00CB222D"/>
    <w:rsid w:val="00CF1BF0"/>
    <w:rsid w:val="00CF22B5"/>
    <w:rsid w:val="00CF69DB"/>
    <w:rsid w:val="00D00095"/>
    <w:rsid w:val="00D041BC"/>
    <w:rsid w:val="00D06CEA"/>
    <w:rsid w:val="00D10D1C"/>
    <w:rsid w:val="00D319F2"/>
    <w:rsid w:val="00D470B0"/>
    <w:rsid w:val="00D56EA9"/>
    <w:rsid w:val="00D6314A"/>
    <w:rsid w:val="00D83FF1"/>
    <w:rsid w:val="00D9320E"/>
    <w:rsid w:val="00DA0EA8"/>
    <w:rsid w:val="00DC4820"/>
    <w:rsid w:val="00DC54DB"/>
    <w:rsid w:val="00DD0C43"/>
    <w:rsid w:val="00DD7217"/>
    <w:rsid w:val="00E065F2"/>
    <w:rsid w:val="00E10390"/>
    <w:rsid w:val="00E128C5"/>
    <w:rsid w:val="00E12949"/>
    <w:rsid w:val="00E1356C"/>
    <w:rsid w:val="00E34AF4"/>
    <w:rsid w:val="00E3539C"/>
    <w:rsid w:val="00E3588F"/>
    <w:rsid w:val="00E42F87"/>
    <w:rsid w:val="00E55E8B"/>
    <w:rsid w:val="00E67BF5"/>
    <w:rsid w:val="00E771F0"/>
    <w:rsid w:val="00E86B80"/>
    <w:rsid w:val="00E901C3"/>
    <w:rsid w:val="00E94198"/>
    <w:rsid w:val="00EF38AB"/>
    <w:rsid w:val="00F02891"/>
    <w:rsid w:val="00F02C30"/>
    <w:rsid w:val="00F04AF5"/>
    <w:rsid w:val="00F0643F"/>
    <w:rsid w:val="00F15CF5"/>
    <w:rsid w:val="00F25724"/>
    <w:rsid w:val="00F31A41"/>
    <w:rsid w:val="00F4451A"/>
    <w:rsid w:val="00F65DCC"/>
    <w:rsid w:val="00F73A4D"/>
    <w:rsid w:val="00F81A92"/>
    <w:rsid w:val="00F94DF7"/>
    <w:rsid w:val="00F96879"/>
    <w:rsid w:val="00FA33CC"/>
    <w:rsid w:val="00FA695F"/>
    <w:rsid w:val="00FC1A1F"/>
    <w:rsid w:val="00FC57FF"/>
    <w:rsid w:val="00FD6587"/>
    <w:rsid w:val="00FF7430"/>
    <w:rsid w:val="05AB1FA9"/>
    <w:rsid w:val="0C565B48"/>
    <w:rsid w:val="0F357C01"/>
    <w:rsid w:val="11D50CC6"/>
    <w:rsid w:val="129A0611"/>
    <w:rsid w:val="1ED713EE"/>
    <w:rsid w:val="2D306F11"/>
    <w:rsid w:val="30B05F05"/>
    <w:rsid w:val="3A7E0E22"/>
    <w:rsid w:val="3AD722D6"/>
    <w:rsid w:val="45F428E0"/>
    <w:rsid w:val="543945EF"/>
    <w:rsid w:val="56467514"/>
    <w:rsid w:val="649D19E3"/>
    <w:rsid w:val="667B6268"/>
    <w:rsid w:val="682664D1"/>
    <w:rsid w:val="6DA92D7B"/>
    <w:rsid w:val="71080739"/>
    <w:rsid w:val="72784E36"/>
    <w:rsid w:val="7E1A38FE"/>
    <w:rsid w:val="7E76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18"/>
    <w:qFormat/>
    <w:uiPriority w:val="9"/>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link w:val="29"/>
    <w:unhideWhenUsed/>
    <w:qFormat/>
    <w:uiPriority w:val="9"/>
    <w:pPr>
      <w:keepNext/>
      <w:keepLines/>
      <w:spacing w:before="260" w:after="260" w:line="416" w:lineRule="auto"/>
      <w:ind w:left="100" w:leftChars="100" w:right="240" w:rightChars="100"/>
      <w:outlineLvl w:val="1"/>
    </w:pPr>
    <w:rPr>
      <w:rFonts w:ascii="Cambria" w:hAnsi="Cambria"/>
      <w:b/>
      <w:bCs/>
      <w:sz w:val="30"/>
      <w:szCs w:val="32"/>
    </w:rPr>
  </w:style>
  <w:style w:type="paragraph" w:styleId="4">
    <w:name w:val="heading 3"/>
    <w:basedOn w:val="1"/>
    <w:next w:val="1"/>
    <w:link w:val="26"/>
    <w:unhideWhenUsed/>
    <w:qFormat/>
    <w:uiPriority w:val="9"/>
    <w:pPr>
      <w:keepNext/>
      <w:keepLines/>
      <w:spacing w:before="260" w:after="260" w:line="416" w:lineRule="auto"/>
      <w:ind w:left="240" w:leftChars="100" w:right="240" w:rightChars="100"/>
      <w:outlineLvl w:val="2"/>
    </w:pPr>
    <w:rPr>
      <w:b/>
      <w:bCs/>
      <w:sz w:val="28"/>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rPr>
      <w:kern w:val="0"/>
      <w:sz w:val="20"/>
      <w:szCs w:val="20"/>
    </w:rPr>
  </w:style>
  <w:style w:type="paragraph" w:styleId="7">
    <w:name w:val="annotation text"/>
    <w:basedOn w:val="1"/>
    <w:link w:val="24"/>
    <w:qFormat/>
    <w:uiPriority w:val="99"/>
  </w:style>
  <w:style w:type="paragraph" w:styleId="8">
    <w:name w:val="Plain Text"/>
    <w:basedOn w:val="1"/>
    <w:unhideWhenUsed/>
    <w:qFormat/>
    <w:uiPriority w:val="99"/>
    <w:rPr>
      <w:rFonts w:ascii="宋体" w:hAnsi="Courier New"/>
      <w:kern w:val="0"/>
      <w:sz w:val="20"/>
      <w:szCs w:val="20"/>
    </w:rPr>
  </w:style>
  <w:style w:type="paragraph" w:styleId="9">
    <w:name w:val="Balloon Text"/>
    <w:basedOn w:val="1"/>
    <w:link w:val="23"/>
    <w:qFormat/>
    <w:uiPriority w:val="99"/>
    <w:rPr>
      <w:sz w:val="18"/>
      <w:szCs w:val="18"/>
    </w:rPr>
  </w:style>
  <w:style w:type="paragraph" w:styleId="10">
    <w:name w:val="footer"/>
    <w:basedOn w:val="1"/>
    <w:link w:val="19"/>
    <w:qFormat/>
    <w:uiPriority w:val="0"/>
    <w:pPr>
      <w:tabs>
        <w:tab w:val="center" w:pos="4153"/>
        <w:tab w:val="right" w:pos="8306"/>
      </w:tabs>
      <w:snapToGrid w:val="0"/>
    </w:pPr>
    <w:rPr>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0"/>
    <w:pPr>
      <w:spacing w:before="240" w:after="60" w:line="312" w:lineRule="auto"/>
      <w:jc w:val="center"/>
      <w:outlineLvl w:val="1"/>
    </w:pPr>
    <w:rPr>
      <w:rFonts w:ascii="Cambria" w:hAnsi="Cambria"/>
      <w:b/>
      <w:bCs/>
      <w:kern w:val="28"/>
      <w:sz w:val="32"/>
      <w:szCs w:val="32"/>
      <w:lang w:eastAsia="en-US"/>
    </w:rPr>
  </w:style>
  <w:style w:type="paragraph" w:styleId="13">
    <w:name w:val="annotation subject"/>
    <w:basedOn w:val="7"/>
    <w:next w:val="7"/>
    <w:link w:val="25"/>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99"/>
    <w:rPr>
      <w:sz w:val="21"/>
      <w:szCs w:val="21"/>
    </w:rPr>
  </w:style>
  <w:style w:type="character" w:customStyle="1" w:styleId="18">
    <w:name w:val="标题 1 字符"/>
    <w:basedOn w:val="16"/>
    <w:link w:val="3"/>
    <w:qFormat/>
    <w:uiPriority w:val="9"/>
    <w:rPr>
      <w:rFonts w:ascii="宋体" w:hAnsi="宋体"/>
      <w:b/>
      <w:bCs/>
      <w:kern w:val="44"/>
      <w:sz w:val="44"/>
      <w:szCs w:val="44"/>
    </w:rPr>
  </w:style>
  <w:style w:type="character" w:customStyle="1" w:styleId="19">
    <w:name w:val="页脚 字符"/>
    <w:basedOn w:val="16"/>
    <w:link w:val="10"/>
    <w:qFormat/>
    <w:uiPriority w:val="0"/>
    <w:rPr>
      <w:rFonts w:ascii="Times New Roman" w:hAnsi="Times New Roman" w:eastAsia="宋体" w:cs="Times New Roman"/>
      <w:sz w:val="18"/>
      <w:szCs w:val="18"/>
    </w:rPr>
  </w:style>
  <w:style w:type="character" w:customStyle="1" w:styleId="20">
    <w:name w:val="列出段落 字符"/>
    <w:link w:val="21"/>
    <w:qFormat/>
    <w:uiPriority w:val="34"/>
    <w:rPr>
      <w:rFonts w:ascii="等线" w:hAnsi="等线" w:eastAsia="等线"/>
    </w:rPr>
  </w:style>
  <w:style w:type="paragraph" w:styleId="21">
    <w:name w:val="List Paragraph"/>
    <w:basedOn w:val="1"/>
    <w:link w:val="20"/>
    <w:qFormat/>
    <w:uiPriority w:val="34"/>
    <w:pPr>
      <w:ind w:firstLine="420" w:firstLineChars="200"/>
    </w:pPr>
    <w:rPr>
      <w:rFonts w:ascii="等线" w:hAnsi="等线" w:eastAsia="等线"/>
      <w:szCs w:val="22"/>
    </w:rPr>
  </w:style>
  <w:style w:type="character" w:customStyle="1" w:styleId="22">
    <w:name w:val="页眉 字符"/>
    <w:basedOn w:val="16"/>
    <w:link w:val="11"/>
    <w:qFormat/>
    <w:uiPriority w:val="99"/>
    <w:rPr>
      <w:rFonts w:ascii="Times New Roman" w:hAnsi="Times New Roman" w:eastAsia="宋体" w:cs="Times New Roman"/>
      <w:sz w:val="18"/>
      <w:szCs w:val="18"/>
    </w:rPr>
  </w:style>
  <w:style w:type="character" w:customStyle="1" w:styleId="23">
    <w:name w:val="批注框文本 字符"/>
    <w:basedOn w:val="16"/>
    <w:link w:val="9"/>
    <w:qFormat/>
    <w:uiPriority w:val="99"/>
    <w:rPr>
      <w:rFonts w:ascii="Times New Roman" w:hAnsi="Times New Roman" w:eastAsia="宋体" w:cs="Times New Roman"/>
      <w:kern w:val="2"/>
      <w:sz w:val="18"/>
      <w:szCs w:val="18"/>
    </w:rPr>
  </w:style>
  <w:style w:type="character" w:customStyle="1" w:styleId="24">
    <w:name w:val="批注文字 字符"/>
    <w:basedOn w:val="16"/>
    <w:link w:val="7"/>
    <w:qFormat/>
    <w:uiPriority w:val="99"/>
    <w:rPr>
      <w:rFonts w:ascii="Times New Roman" w:hAnsi="Times New Roman" w:eastAsia="宋体" w:cs="Times New Roman"/>
      <w:kern w:val="2"/>
      <w:sz w:val="21"/>
      <w:szCs w:val="24"/>
    </w:rPr>
  </w:style>
  <w:style w:type="character" w:customStyle="1" w:styleId="25">
    <w:name w:val="批注主题 字符"/>
    <w:basedOn w:val="24"/>
    <w:link w:val="13"/>
    <w:qFormat/>
    <w:uiPriority w:val="99"/>
    <w:rPr>
      <w:rFonts w:ascii="Times New Roman" w:hAnsi="Times New Roman" w:eastAsia="宋体" w:cs="Times New Roman"/>
      <w:b/>
      <w:bCs/>
      <w:kern w:val="2"/>
      <w:sz w:val="21"/>
      <w:szCs w:val="24"/>
    </w:rPr>
  </w:style>
  <w:style w:type="character" w:customStyle="1" w:styleId="26">
    <w:name w:val="标题 3 字符"/>
    <w:basedOn w:val="16"/>
    <w:link w:val="4"/>
    <w:qFormat/>
    <w:uiPriority w:val="9"/>
    <w:rPr>
      <w:rFonts w:ascii="宋体" w:hAnsi="宋体"/>
      <w:b/>
      <w:bCs/>
      <w:sz w:val="28"/>
      <w:szCs w:val="32"/>
    </w:rPr>
  </w:style>
  <w:style w:type="character" w:customStyle="1" w:styleId="27">
    <w:name w:val="markedcontent"/>
    <w:basedOn w:val="16"/>
    <w:qFormat/>
    <w:uiPriority w:val="0"/>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标题 2 字符"/>
    <w:basedOn w:val="16"/>
    <w:link w:val="2"/>
    <w:qFormat/>
    <w:uiPriority w:val="9"/>
    <w:rPr>
      <w:rFonts w:ascii="Cambria" w:hAnsi="Cambria"/>
      <w:b/>
      <w:bCs/>
      <w:sz w:val="30"/>
      <w:szCs w:val="32"/>
    </w:rPr>
  </w:style>
  <w:style w:type="paragraph" w:customStyle="1" w:styleId="30">
    <w:name w:val="Revision"/>
    <w:hidden/>
    <w:semiHidden/>
    <w:qFormat/>
    <w:uiPriority w:val="99"/>
    <w:rPr>
      <w:rFonts w:ascii="宋体" w:hAnsi="宋体" w:eastAsia="宋体" w:cs="宋体"/>
      <w:sz w:val="24"/>
      <w:szCs w:val="24"/>
      <w:lang w:val="en-US" w:eastAsia="zh-CN" w:bidi="ar-SA"/>
    </w:rPr>
  </w:style>
  <w:style w:type="character" w:customStyle="1" w:styleId="31">
    <w:name w:val="标题 4 字符"/>
    <w:basedOn w:val="16"/>
    <w:link w:val="5"/>
    <w:qFormat/>
    <w:uiPriority w:val="9"/>
    <w:rPr>
      <w:rFonts w:asciiTheme="majorHAnsi" w:hAnsiTheme="majorHAnsi" w:eastAsiaTheme="majorEastAsia" w:cstheme="majorBidi"/>
      <w:b/>
      <w:bCs/>
      <w:sz w:val="24"/>
      <w:szCs w:val="28"/>
    </w:rPr>
  </w:style>
  <w:style w:type="paragraph" w:customStyle="1" w:styleId="32">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722BB-081D-4274-B9E0-34737BE374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10481</Words>
  <Characters>10660</Characters>
  <Lines>80</Lines>
  <Paragraphs>22</Paragraphs>
  <TotalTime>0</TotalTime>
  <ScaleCrop>false</ScaleCrop>
  <LinksUpToDate>false</LinksUpToDate>
  <CharactersWithSpaces>10670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2022-08-28T09:28:00Z</dcterms:created>
  <dc:creator>netuser</dc:creator>
  <cp:lastModifiedBy>华鑫招标ZH</cp:lastModifiedBy>
  <cp:lastPrinted>2022-07-11T08:30:00Z</cp:lastPrinted>
  <dcterms:modified xsi:type="dcterms:W3CDTF">2022-09-21T11:29:34Z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5E3C380CCA534E6D940E0E807656D503</vt:lpwstr>
  </property>
</Properties>
</file>