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9" w:leftChars="-67" w:hanging="160" w:hangingChars="5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both"/>
        <w:rPr>
          <w:rFonts w:hint="eastAsia" w:ascii="宋体" w:hAnsi="宋体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进修生管理系统子项目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进修生报名管理系统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)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维护服务项目需求</w:t>
      </w: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进修生</w:t>
      </w:r>
      <w:r>
        <w:rPr>
          <w:rFonts w:ascii="宋体" w:hAnsi="宋体"/>
          <w:sz w:val="24"/>
          <w:szCs w:val="24"/>
        </w:rPr>
        <w:t>管理系统</w:t>
      </w:r>
      <w:r>
        <w:rPr>
          <w:rFonts w:hint="eastAsia" w:ascii="宋体" w:hAnsi="宋体"/>
          <w:sz w:val="24"/>
          <w:szCs w:val="24"/>
        </w:rPr>
        <w:t>子</w:t>
      </w: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  <w:lang w:val="en-US" w:eastAsia="zh-CN"/>
        </w:rPr>
        <w:t>(</w:t>
      </w:r>
      <w:r>
        <w:rPr>
          <w:rFonts w:hint="eastAsia" w:ascii="宋体" w:hAnsi="宋体"/>
          <w:sz w:val="24"/>
          <w:szCs w:val="24"/>
        </w:rPr>
        <w:t>进修生</w:t>
      </w:r>
      <w:r>
        <w:rPr>
          <w:rFonts w:ascii="宋体" w:hAnsi="宋体"/>
          <w:sz w:val="24"/>
          <w:szCs w:val="24"/>
        </w:rPr>
        <w:t>报名管理系统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于2019年8月15日</w:t>
      </w:r>
      <w:r>
        <w:rPr>
          <w:rFonts w:ascii="宋体" w:hAnsi="宋体"/>
          <w:sz w:val="24"/>
          <w:szCs w:val="24"/>
        </w:rPr>
        <w:t>完成验收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根据合同条款</w:t>
      </w:r>
      <w:r>
        <w:rPr>
          <w:rFonts w:hint="eastAsia" w:ascii="宋体" w:hAnsi="宋体"/>
          <w:sz w:val="24"/>
          <w:szCs w:val="24"/>
        </w:rPr>
        <w:t>，子项目</w:t>
      </w:r>
      <w:r>
        <w:rPr>
          <w:rFonts w:hint="eastAsia" w:ascii="宋体" w:hAnsi="宋体"/>
          <w:sz w:val="24"/>
          <w:szCs w:val="24"/>
          <w:lang w:val="en-US" w:eastAsia="zh-CN"/>
        </w:rPr>
        <w:t>(</w:t>
      </w:r>
      <w:r>
        <w:rPr>
          <w:rFonts w:hint="eastAsia" w:ascii="宋体" w:hAnsi="宋体"/>
          <w:sz w:val="24"/>
          <w:szCs w:val="24"/>
        </w:rPr>
        <w:t>进修生</w:t>
      </w:r>
      <w:r>
        <w:rPr>
          <w:rFonts w:ascii="宋体" w:hAnsi="宋体"/>
          <w:sz w:val="24"/>
          <w:szCs w:val="24"/>
        </w:rPr>
        <w:t>报名管理系统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免费</w:t>
      </w:r>
      <w:r>
        <w:rPr>
          <w:rFonts w:ascii="宋体" w:hAnsi="宋体"/>
          <w:sz w:val="24"/>
          <w:szCs w:val="24"/>
        </w:rPr>
        <w:t>维护期为项目验收后一年</w:t>
      </w:r>
      <w:r>
        <w:rPr>
          <w:rFonts w:hint="eastAsia" w:ascii="宋体" w:hAnsi="宋体"/>
          <w:sz w:val="24"/>
          <w:szCs w:val="24"/>
        </w:rPr>
        <w:t>，免费</w:t>
      </w:r>
      <w:r>
        <w:rPr>
          <w:rFonts w:ascii="宋体" w:hAnsi="宋体"/>
          <w:sz w:val="24"/>
          <w:szCs w:val="24"/>
        </w:rPr>
        <w:t>维保期截止日为</w:t>
      </w:r>
      <w:r>
        <w:rPr>
          <w:rFonts w:hint="eastAsia"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年8月15日</w:t>
      </w:r>
      <w:r>
        <w:rPr>
          <w:rFonts w:ascii="宋体" w:hAnsi="宋体"/>
          <w:sz w:val="24"/>
          <w:szCs w:val="24"/>
        </w:rPr>
        <w:t>。因此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申请</w:t>
      </w:r>
      <w:r>
        <w:rPr>
          <w:rFonts w:hint="eastAsia" w:ascii="宋体" w:hAnsi="宋体"/>
          <w:sz w:val="24"/>
          <w:szCs w:val="24"/>
        </w:rPr>
        <w:t>采购子项目</w:t>
      </w:r>
      <w:r>
        <w:rPr>
          <w:rFonts w:hint="eastAsia" w:ascii="宋体" w:hAnsi="宋体"/>
          <w:sz w:val="24"/>
          <w:szCs w:val="24"/>
          <w:lang w:val="en-US" w:eastAsia="zh-CN"/>
        </w:rPr>
        <w:t>(</w:t>
      </w:r>
      <w:r>
        <w:rPr>
          <w:rFonts w:hint="eastAsia" w:ascii="宋体" w:hAnsi="宋体"/>
          <w:sz w:val="24"/>
          <w:szCs w:val="24"/>
        </w:rPr>
        <w:t>进修生</w:t>
      </w:r>
      <w:r>
        <w:rPr>
          <w:rFonts w:ascii="宋体" w:hAnsi="宋体"/>
          <w:sz w:val="24"/>
          <w:szCs w:val="24"/>
        </w:rPr>
        <w:t>报名管理系统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的维护</w:t>
      </w:r>
      <w:r>
        <w:rPr>
          <w:rFonts w:ascii="宋体" w:hAnsi="宋体"/>
          <w:sz w:val="24"/>
          <w:szCs w:val="24"/>
        </w:rPr>
        <w:t>服务，</w:t>
      </w:r>
      <w:r>
        <w:rPr>
          <w:rFonts w:hint="eastAsia" w:ascii="宋体" w:hAnsi="宋体"/>
          <w:sz w:val="24"/>
          <w:szCs w:val="24"/>
        </w:rPr>
        <w:t>具体</w:t>
      </w:r>
      <w:r>
        <w:rPr>
          <w:rFonts w:ascii="宋体" w:hAnsi="宋体"/>
          <w:sz w:val="24"/>
          <w:szCs w:val="24"/>
        </w:rPr>
        <w:t>维护时限为</w:t>
      </w:r>
      <w:r>
        <w:rPr>
          <w:rFonts w:hint="eastAsia" w:ascii="宋体" w:hAnsi="宋体"/>
          <w:sz w:val="24"/>
          <w:szCs w:val="24"/>
        </w:rPr>
        <w:t>2020年8月1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日~</w:t>
      </w:r>
      <w:r>
        <w:rPr>
          <w:rFonts w:ascii="宋体" w:hAnsi="宋体"/>
          <w:sz w:val="24"/>
          <w:szCs w:val="24"/>
        </w:rPr>
        <w:t>2021</w:t>
      </w:r>
      <w:r>
        <w:rPr>
          <w:rFonts w:hint="eastAsia" w:ascii="宋体" w:hAnsi="宋体"/>
          <w:sz w:val="24"/>
          <w:szCs w:val="24"/>
        </w:rPr>
        <w:t>年8月15日</w:t>
      </w:r>
      <w:r>
        <w:rPr>
          <w:rFonts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二、维护</w:t>
      </w:r>
      <w:r>
        <w:rPr>
          <w:rFonts w:ascii="宋体" w:hAnsi="宋体"/>
          <w:b/>
          <w:sz w:val="24"/>
          <w:szCs w:val="24"/>
        </w:rPr>
        <w:t>功能清单</w:t>
      </w:r>
    </w:p>
    <w:tbl>
      <w:tblPr>
        <w:tblStyle w:val="2"/>
        <w:tblW w:w="9039" w:type="dxa"/>
        <w:tblInd w:w="0" w:type="dxa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88"/>
      </w:tblGrid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51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nil"/>
            </w:tcBorders>
            <w:shd w:val="clear" w:color="auto" w:fill="5B9BD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24"/>
                <w:szCs w:val="24"/>
              </w:rPr>
              <w:t>功能</w:t>
            </w:r>
            <w:r>
              <w:rPr>
                <w:rFonts w:ascii="宋体" w:hAnsi="宋体"/>
                <w:b/>
                <w:bCs/>
                <w:color w:val="FFFFFF"/>
                <w:sz w:val="24"/>
                <w:szCs w:val="24"/>
              </w:rPr>
              <w:t>名称</w:t>
            </w:r>
          </w:p>
        </w:tc>
        <w:tc>
          <w:tcPr>
            <w:tcW w:w="7088" w:type="dxa"/>
            <w:tcBorders>
              <w:top w:val="single" w:color="5B9BD5" w:sz="4" w:space="0"/>
              <w:left w:val="nil"/>
              <w:bottom w:val="single" w:color="5B9BD5" w:sz="4" w:space="0"/>
              <w:right w:val="single" w:color="5B9BD5" w:sz="4" w:space="0"/>
            </w:tcBorders>
            <w:shd w:val="clear" w:color="auto" w:fill="5B9BD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24"/>
                <w:szCs w:val="24"/>
              </w:rPr>
              <w:t>功能</w:t>
            </w:r>
            <w:r>
              <w:rPr>
                <w:rFonts w:ascii="宋体" w:hAnsi="宋体"/>
                <w:b/>
                <w:bCs/>
                <w:color w:val="FFFFFF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须知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主要功能点：进修须知列表/进修须知详情/进修须知附件下载/后端进修政策列表/进修政策维护以及发布。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报名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主要功能点：进修须知阅读/进修报名批次选择/进修报名基本资料、联系方式、学习经历、工作经历填写/进修报名申请单填写、材料附件上传。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我们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展现医院联系方式和交通信息，包括进修生报名联系人、联系电话、联系地址和公共交通信息。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注册\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登录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主要功能点：注册表单已经资料验证//登陆表单/密码错误锁定机制。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密码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重置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\修改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主要功能点：密码关键信息重置/本人修改密码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录取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查询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主要功能点：申请单列表/申请单信息编辑/录取通知书/离院单。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主要功能点：反馈信息表单/反馈历史信息列表已经院方的解答。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审批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主要功能点：查询所有的申请单列表/申请单详细信息/录取/退回/拒绝/审批原因。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反馈管理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主要功能点：进修生建议信息列表/解答反馈。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结业证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主要功能点：下载结业证书。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进修生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文档管理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主要功能点：申请单附件列表/打包下载附件。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统计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查询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招生</w:t>
            </w:r>
            <w:r>
              <w:rPr>
                <w:rFonts w:ascii="宋体" w:hAnsi="宋体"/>
                <w:sz w:val="24"/>
                <w:szCs w:val="24"/>
              </w:rPr>
              <w:t>来源统计、招生人数统计、</w:t>
            </w: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人数统计。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配置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7088" w:type="dxa"/>
            <w:shd w:val="clear" w:color="auto" w:fill="DEEAF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</w:t>
            </w:r>
            <w:r>
              <w:rPr>
                <w:rFonts w:ascii="宋体" w:hAnsi="宋体"/>
                <w:sz w:val="24"/>
                <w:szCs w:val="24"/>
              </w:rPr>
              <w:t>管理、科目管理、科目进行时间管理、</w:t>
            </w:r>
            <w:r>
              <w:rPr>
                <w:rFonts w:hint="eastAsia" w:ascii="宋体" w:hAnsi="宋体"/>
                <w:sz w:val="24"/>
                <w:szCs w:val="24"/>
              </w:rPr>
              <w:t>进修</w:t>
            </w:r>
            <w:r>
              <w:rPr>
                <w:rFonts w:ascii="宋体" w:hAnsi="宋体"/>
                <w:sz w:val="24"/>
                <w:szCs w:val="24"/>
              </w:rPr>
              <w:t>批次管理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系统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70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用户</w:t>
            </w:r>
            <w:r>
              <w:rPr>
                <w:rFonts w:ascii="宋体" w:hAnsi="宋体"/>
                <w:sz w:val="24"/>
                <w:szCs w:val="24"/>
              </w:rPr>
              <w:t>管理、角色管理、菜单管理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2" w:firstLineChars="200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2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三、维护要求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/>
        <w:textAlignment w:val="auto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（一）</w:t>
      </w:r>
      <w:r>
        <w:rPr>
          <w:rFonts w:hint="eastAsia" w:ascii="宋体" w:hAnsi="宋体"/>
          <w:b/>
          <w:sz w:val="24"/>
          <w:szCs w:val="24"/>
        </w:rPr>
        <w:t>技术支持服务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1、在免费维护期内，乙方提供技术支持和指导，以及应用系统的局部改进完善以及故障情况下的现场问题解决。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2、乙方7*24小时服务热线，安排合格的技术工程师提供技术热线。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/>
          <w:sz w:val="24"/>
        </w:rPr>
        <w:t>3、如果项目实施产出物或项目在质保期内出现一般性故障，乙方应在接到甲方报修通知内</w:t>
      </w:r>
      <w:r>
        <w:rPr>
          <w:rFonts w:hint="eastAsia" w:ascii="宋体" w:hAnsi="宋体"/>
          <w:sz w:val="24"/>
          <w:szCs w:val="24"/>
        </w:rPr>
        <w:t>_</w:t>
      </w:r>
      <w:r>
        <w:rPr>
          <w:rFonts w:hint="eastAsia" w:ascii="宋体" w:hAnsi="宋体"/>
          <w:sz w:val="24"/>
          <w:szCs w:val="24"/>
          <w:u w:val="single"/>
        </w:rPr>
        <w:t>0.5</w:t>
      </w:r>
      <w:r>
        <w:rPr>
          <w:rFonts w:hint="eastAsia" w:ascii="宋体" w:hAnsi="宋体"/>
          <w:sz w:val="24"/>
          <w:szCs w:val="24"/>
        </w:rPr>
        <w:t>_</w:t>
      </w:r>
      <w:r>
        <w:rPr>
          <w:rFonts w:hint="eastAsia" w:ascii="宋体" w:hAnsi="宋体"/>
          <w:sz w:val="24"/>
        </w:rPr>
        <w:t>小时内（含本数）做出处理响应；如果项目实施产出物或项目在质保期内出现重大故障，乙方应立即派遣工程技术人员用最快捷的交通工具在</w:t>
      </w:r>
      <w:r>
        <w:rPr>
          <w:rFonts w:hint="eastAsia" w:ascii="宋体" w:hAnsi="宋体"/>
          <w:sz w:val="24"/>
          <w:szCs w:val="24"/>
        </w:rPr>
        <w:t>__</w:t>
      </w:r>
      <w:r>
        <w:rPr>
          <w:rFonts w:hint="eastAsia" w:ascii="宋体" w:hAnsi="宋体"/>
          <w:sz w:val="24"/>
          <w:szCs w:val="24"/>
          <w:u w:val="single"/>
        </w:rPr>
        <w:t>1</w:t>
      </w:r>
      <w:r>
        <w:rPr>
          <w:rFonts w:hint="eastAsia" w:ascii="宋体" w:hAnsi="宋体"/>
          <w:sz w:val="24"/>
          <w:szCs w:val="24"/>
        </w:rPr>
        <w:t>__</w:t>
      </w:r>
      <w:r>
        <w:rPr>
          <w:rFonts w:hint="eastAsia" w:ascii="宋体" w:hAnsi="宋体"/>
          <w:sz w:val="24"/>
        </w:rPr>
        <w:t>小时内（含本数）往达现场处理。乙方需</w:t>
      </w:r>
      <w:r>
        <w:rPr>
          <w:rFonts w:hint="eastAsia" w:ascii="宋体" w:hAnsi="宋体" w:cs="宋体"/>
          <w:sz w:val="24"/>
          <w:szCs w:val="21"/>
        </w:rPr>
        <w:t>提出解决方案，工作至故障修妥完全恢复正常服务为止，修复时间不超过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</w:t>
      </w:r>
      <w:r>
        <w:rPr>
          <w:rFonts w:ascii="宋体" w:hAnsi="宋体" w:cs="宋体"/>
          <w:sz w:val="24"/>
          <w:szCs w:val="21"/>
          <w:u w:val="single"/>
        </w:rPr>
        <w:t>2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1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4、乙方应作出无推诿承诺。即乙方在收到甲方报修通知及要求后，须立即派技术人员到场，全力协助、使系统尽快恢复正常。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color w:val="000000"/>
          <w:sz w:val="24"/>
        </w:rPr>
        <w:t>超过免费维护期的，双方另行协商签订维护合同，乙方报价不超过合同软件部分金额的</w:t>
      </w:r>
      <w:r>
        <w:rPr>
          <w:rFonts w:hint="eastAsia" w:ascii="宋体" w:hAnsi="宋体"/>
          <w:color w:val="000000"/>
          <w:sz w:val="24"/>
          <w:u w:val="single"/>
        </w:rPr>
        <w:t>8</w:t>
      </w:r>
      <w:r>
        <w:rPr>
          <w:rFonts w:hint="eastAsia" w:ascii="宋体" w:hAnsi="宋体"/>
          <w:color w:val="000000"/>
          <w:sz w:val="24"/>
        </w:rPr>
        <w:t>%。在免费维护期结束后、维护合同签订前，乙方须继续提供维护服务，维护费用在维护合同签订后支付。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/>
        <w:textAlignment w:val="auto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（二）</w:t>
      </w:r>
      <w:r>
        <w:rPr>
          <w:rFonts w:hint="eastAsia" w:ascii="宋体" w:hAnsi="宋体"/>
          <w:b/>
          <w:sz w:val="24"/>
          <w:szCs w:val="24"/>
        </w:rPr>
        <w:t>提供详细的维护人员清单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乙方应有专门的维护部门并指定固定技术力量用于系统维护，并向用户提供详细的维护人员清单及其联系方式。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/>
        <w:textAlignment w:val="auto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（三）</w:t>
      </w:r>
      <w:r>
        <w:rPr>
          <w:rFonts w:hint="eastAsia" w:ascii="宋体" w:hAnsi="宋体"/>
          <w:b/>
          <w:sz w:val="24"/>
          <w:szCs w:val="24"/>
        </w:rPr>
        <w:t>服务方式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以现场服务为主，其它电话、邮件指导、远程维护、技术交流方式不限。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/>
    <w:p/>
    <w:p/>
    <w:p/>
    <w:p>
      <w:pPr>
        <w:spacing w:line="360" w:lineRule="auto"/>
        <w:ind w:left="19" w:leftChars="-67" w:hanging="160" w:hangingChars="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2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及各功能模块/硬件清单明细报价；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（4）硬件清单明细报价需按各推荐品牌分别报价。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研发团队力量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维护</w:t>
            </w:r>
            <w:r>
              <w:rPr>
                <w:rFonts w:ascii="微软雅黑" w:hAnsi="微软雅黑" w:eastAsia="微软雅黑"/>
                <w:szCs w:val="21"/>
              </w:rPr>
              <w:t>方案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维护</w:t>
            </w:r>
            <w:r>
              <w:rPr>
                <w:rFonts w:ascii="微软雅黑" w:hAnsi="微软雅黑" w:eastAsia="微软雅黑"/>
                <w:szCs w:val="21"/>
              </w:rPr>
              <w:t>方案</w:t>
            </w: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（2）项目维护具体方案。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及三家成功案例（非必备条件）。</w:t>
            </w: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/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F217F"/>
    <w:rsid w:val="14502EE4"/>
    <w:rsid w:val="19E81A6F"/>
    <w:rsid w:val="71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2020-06-24T00:41:00Z</dcterms:created>
  <dc:creator>- 杰 -</dc:creator>
  <cp:lastModifiedBy>- 杰 -</cp:lastModifiedBy>
  <dcterms:modified xsi:type="dcterms:W3CDTF">2020-06-24T07:11:49Z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